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95" w:rsidRPr="00D45331" w:rsidRDefault="008936FE" w:rsidP="00464395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SCFIS</w:t>
      </w:r>
      <w:r w:rsidR="00464395" w:rsidRPr="00D45331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</w:t>
      </w:r>
      <w:r w:rsidR="00A240A9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(EUR Service)</w:t>
      </w:r>
      <w:r w:rsidR="00A143B6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</w:t>
      </w:r>
      <w:r w:rsidR="00464395" w:rsidRPr="00D45331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Futures Mock Test Guide</w:t>
      </w:r>
    </w:p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Participate in Trading</w:t>
      </w:r>
    </w:p>
    <w:p w:rsidR="00464395" w:rsidRPr="00D45331" w:rsidRDefault="00464395" w:rsidP="00464395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Using the usernames, passwords, </w:t>
      </w:r>
      <w:r w:rsidR="00FC42F7"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>c</w:t>
      </w:r>
      <w:r w:rsidR="00FC42F7">
        <w:rPr>
          <w:rFonts w:ascii="Times New Roman" w:eastAsia="方正大标宋简体" w:hAnsi="Times New Roman" w:cs="Times New Roman"/>
          <w:kern w:val="36"/>
          <w:sz w:val="30"/>
          <w:szCs w:val="30"/>
        </w:rPr>
        <w:t>lient</w:t>
      </w:r>
      <w:r w:rsidR="00FC42F7"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trad</w:t>
      </w:r>
      <w:r w:rsidR="00FC42F7">
        <w:rPr>
          <w:rFonts w:ascii="Times New Roman" w:eastAsia="方正大标宋简体" w:hAnsi="Times New Roman" w:cs="Times New Roman"/>
          <w:kern w:val="36"/>
          <w:sz w:val="30"/>
          <w:szCs w:val="30"/>
        </w:rPr>
        <w:t>ing</w:t>
      </w:r>
      <w:r w:rsidR="00FC42F7"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codes</w:t>
      </w:r>
      <w:r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settled in the mock system.</w:t>
      </w:r>
    </w:p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Listed Contracts</w:t>
      </w:r>
    </w:p>
    <w:p w:rsidR="00464395" w:rsidRPr="00D45331" w:rsidRDefault="00795ED0" w:rsidP="00464395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EC2306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EC2308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EC2310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EC2312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EC2402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 w:rsidRPr="00D45331">
        <w:rPr>
          <w:rFonts w:ascii="Times New Roman" w:eastAsia="仿宋" w:hAnsi="Times New Roman" w:cs="Times New Roman"/>
          <w:kern w:val="0"/>
          <w:sz w:val="30"/>
          <w:szCs w:val="30"/>
        </w:rPr>
        <w:t>EC2404</w:t>
      </w:r>
    </w:p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Trading Hours</w:t>
      </w:r>
    </w:p>
    <w:p w:rsidR="00464395" w:rsidRPr="00D45331" w:rsidRDefault="00464395" w:rsidP="00464395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Monday to Friday, 9:00 – </w:t>
      </w:r>
      <w:r w:rsidR="00F975B5"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>11:30 a.m., 13:30 – 15:00 p.</w:t>
      </w:r>
      <w:r w:rsidR="00FC42F7" w:rsidRPr="00FC42F7">
        <w:rPr>
          <w:rFonts w:ascii="Times New Roman" w:eastAsia="方正大标宋简体" w:hAnsi="Times New Roman" w:cs="Times New Roman"/>
          <w:kern w:val="36"/>
          <w:sz w:val="30"/>
          <w:szCs w:val="30"/>
        </w:rPr>
        <w:t xml:space="preserve"> </w:t>
      </w:r>
      <w:r w:rsidR="00FC42F7" w:rsidRPr="00D45331">
        <w:rPr>
          <w:rFonts w:ascii="Times New Roman" w:eastAsia="方正大标宋简体" w:hAnsi="Times New Roman" w:cs="Times New Roman"/>
          <w:kern w:val="36"/>
          <w:sz w:val="30"/>
          <w:szCs w:val="30"/>
        </w:rPr>
        <w:t>m. (Beijing Time)</w:t>
      </w:r>
    </w:p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Relevant Parameters</w:t>
      </w:r>
      <w:r w:rsidR="000A2671"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 xml:space="preserve"> of Mock Test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6095"/>
      </w:tblGrid>
      <w:tr w:rsidR="001E1ABF" w:rsidRPr="00D45331" w:rsidTr="003F3BDC">
        <w:tc>
          <w:tcPr>
            <w:tcW w:w="3970" w:type="dxa"/>
            <w:shd w:val="pct20" w:color="auto" w:fill="auto"/>
          </w:tcPr>
          <w:p w:rsidR="001E1ABF" w:rsidRPr="00D45331" w:rsidRDefault="001E1ABF" w:rsidP="001E1AB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6095" w:type="dxa"/>
            <w:shd w:val="pct20" w:color="auto" w:fill="auto"/>
          </w:tcPr>
          <w:p w:rsidR="001E1ABF" w:rsidRPr="00D45331" w:rsidRDefault="001E1ABF" w:rsidP="001E1AB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Mock Test Parameters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A143B6" w:rsidP="005C597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SCFIS </w:t>
            </w:r>
            <w:r w:rsidR="005C5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(EUR Service)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 Symbol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 Size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(RMB) Yuan per point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Price Quotation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point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Price Fluctuation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0.1point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Delivery Month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February, April, June, August, October, December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Last Trading Day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FC42F7" w:rsidP="001E1ABF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The last Monday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(</w:t>
            </w: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which is a trading day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of the contract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delivery </w:t>
            </w: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month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Delivery Period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The Same as Last Trading Day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FC42F7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Practical Daily Price Limit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10%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FC42F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Daily Price Limit of the First Trading Day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20% (Twice of the practical daily price limits)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FC42F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Daily Price Limit of the Last Trading Day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660CD6" w:rsidP="00660CD6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20%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371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Minimum </w:t>
            </w:r>
            <w:r w:rsidR="00FC42F7"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Trad</w:t>
            </w:r>
            <w:r w:rsidR="00FC4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</w:t>
            </w:r>
            <w:r w:rsidR="00FC42F7"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Margin</w:t>
            </w:r>
            <w:r w:rsidR="003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Which is Actually Executed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12%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FC42F7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Trad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Margin </w:t>
            </w: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Standard (margins will be calculated on both long and short positions)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Settlement Type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Cash delivery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FC42F7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Delivery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Unit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 lot</w:t>
            </w:r>
          </w:p>
        </w:tc>
      </w:tr>
      <w:tr w:rsidR="001E1ABF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Transaction Fee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ABF" w:rsidRPr="00D45331" w:rsidRDefault="001E1ABF" w:rsidP="001E1A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</w:t>
            </w:r>
            <w:r w:rsidR="001E5C56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  <w:t>‰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livery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Fee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  <w:shd w:val="clear" w:color="auto" w:fill="FFFFFF"/>
              </w:rPr>
              <w:t>‰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2"/>
                <w:shd w:val="clear" w:color="auto" w:fill="FFFFFF"/>
              </w:rPr>
              <w:t>Transaction Fee for Closing Out the Position Opened on the Same Day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FC42F7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Maximum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uantity of Limit orders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 lots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FC42F7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Minimum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uantity of Limit orders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lot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Trading Limit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FC42F7" w:rsidP="008351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2F7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 xml:space="preserve">The </w:t>
            </w:r>
            <w:r w:rsidR="00835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orders used to open positions </w:t>
            </w:r>
            <w:r w:rsidRPr="00FC42F7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each day on a certain contract shall not exceed 1000 lots.</w:t>
            </w:r>
          </w:p>
        </w:tc>
      </w:tr>
      <w:tr w:rsidR="003F3BDC" w:rsidRPr="00D45331" w:rsidTr="003F3B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Natural Person Limit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BDC" w:rsidRPr="00D45331" w:rsidRDefault="003F3BDC" w:rsidP="003F3BD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Natural persons are allowed to open positions in the delivery month. No forced position liquidation.</w:t>
            </w:r>
          </w:p>
        </w:tc>
      </w:tr>
    </w:tbl>
    <w:p w:rsidR="00032093" w:rsidRPr="00D45331" w:rsidRDefault="00032093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Stage-Based Trading Margin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4962"/>
        <w:gridCol w:w="708"/>
      </w:tblGrid>
      <w:tr w:rsidR="00032093" w:rsidRPr="00D45331" w:rsidTr="00032093">
        <w:trPr>
          <w:jc w:val="center"/>
        </w:trPr>
        <w:tc>
          <w:tcPr>
            <w:tcW w:w="2126" w:type="dxa"/>
            <w:shd w:val="pct20" w:color="auto" w:fill="auto"/>
          </w:tcPr>
          <w:p w:rsidR="00032093" w:rsidRPr="00D45331" w:rsidRDefault="00032093" w:rsidP="00111EF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670" w:type="dxa"/>
            <w:gridSpan w:val="2"/>
            <w:shd w:val="pct20" w:color="auto" w:fill="auto"/>
          </w:tcPr>
          <w:p w:rsidR="00032093" w:rsidRPr="00D45331" w:rsidRDefault="00032093" w:rsidP="00111EF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Mock Test Parameters</w:t>
            </w:r>
          </w:p>
        </w:tc>
      </w:tr>
      <w:tr w:rsidR="00032093" w:rsidRPr="00D45331" w:rsidTr="00032093">
        <w:trPr>
          <w:trHeight w:val="158"/>
          <w:jc w:val="center"/>
        </w:trPr>
        <w:tc>
          <w:tcPr>
            <w:tcW w:w="2126" w:type="dxa"/>
            <w:vMerge w:val="restart"/>
            <w:vAlign w:val="center"/>
          </w:tcPr>
          <w:p w:rsidR="00032093" w:rsidRPr="00D45331" w:rsidRDefault="00032093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Stage-Based Trading Margin</w:t>
            </w:r>
          </w:p>
        </w:tc>
        <w:tc>
          <w:tcPr>
            <w:tcW w:w="4962" w:type="dxa"/>
          </w:tcPr>
          <w:p w:rsidR="00032093" w:rsidRPr="00D45331" w:rsidRDefault="00032093" w:rsidP="0003209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As of listing</w:t>
            </w:r>
          </w:p>
        </w:tc>
        <w:tc>
          <w:tcPr>
            <w:tcW w:w="708" w:type="dxa"/>
          </w:tcPr>
          <w:p w:rsidR="00032093" w:rsidRPr="00D45331" w:rsidRDefault="00032093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12%</w:t>
            </w:r>
          </w:p>
        </w:tc>
      </w:tr>
      <w:tr w:rsidR="00032093" w:rsidRPr="00D45331" w:rsidTr="00032093">
        <w:trPr>
          <w:trHeight w:val="157"/>
          <w:jc w:val="center"/>
        </w:trPr>
        <w:tc>
          <w:tcPr>
            <w:tcW w:w="2126" w:type="dxa"/>
            <w:vMerge/>
          </w:tcPr>
          <w:p w:rsidR="00032093" w:rsidRPr="00D45331" w:rsidRDefault="00032093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2093" w:rsidRPr="00D45331" w:rsidRDefault="00032093" w:rsidP="0003209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hAnsi="Times New Roman" w:cs="Times New Roman"/>
              </w:rPr>
              <w:t>As of the seven</w:t>
            </w:r>
            <w:r w:rsidR="00FC42F7">
              <w:rPr>
                <w:rFonts w:ascii="Times New Roman" w:hAnsi="Times New Roman" w:cs="Times New Roman"/>
              </w:rPr>
              <w:t>th</w:t>
            </w:r>
            <w:r w:rsidRPr="00D45331">
              <w:rPr>
                <w:rFonts w:ascii="Times New Roman" w:hAnsi="Times New Roman" w:cs="Times New Roman"/>
              </w:rPr>
              <w:t xml:space="preserve"> trading day prior to the last trading day</w:t>
            </w:r>
          </w:p>
        </w:tc>
        <w:tc>
          <w:tcPr>
            <w:tcW w:w="708" w:type="dxa"/>
          </w:tcPr>
          <w:p w:rsidR="00032093" w:rsidRPr="00D45331" w:rsidRDefault="00032093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20%</w:t>
            </w:r>
          </w:p>
        </w:tc>
      </w:tr>
      <w:tr w:rsidR="00032093" w:rsidRPr="00D45331" w:rsidTr="00032093">
        <w:trPr>
          <w:trHeight w:val="157"/>
          <w:jc w:val="center"/>
        </w:trPr>
        <w:tc>
          <w:tcPr>
            <w:tcW w:w="2126" w:type="dxa"/>
            <w:vMerge/>
          </w:tcPr>
          <w:p w:rsidR="00032093" w:rsidRPr="00D45331" w:rsidRDefault="00032093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32093" w:rsidRPr="00D45331" w:rsidRDefault="00032093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hAnsi="Times New Roman" w:cs="Times New Roman"/>
              </w:rPr>
              <w:t>As of the second trading day prior to the last trading day</w:t>
            </w:r>
          </w:p>
        </w:tc>
        <w:tc>
          <w:tcPr>
            <w:tcW w:w="708" w:type="dxa"/>
          </w:tcPr>
          <w:p w:rsidR="00032093" w:rsidRPr="00D45331" w:rsidRDefault="00032093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30%</w:t>
            </w:r>
          </w:p>
        </w:tc>
      </w:tr>
    </w:tbl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Position Limit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6378"/>
        <w:gridCol w:w="709"/>
      </w:tblGrid>
      <w:tr w:rsidR="00D45331" w:rsidRPr="00D45331" w:rsidTr="00D45331">
        <w:trPr>
          <w:jc w:val="center"/>
        </w:trPr>
        <w:tc>
          <w:tcPr>
            <w:tcW w:w="2689" w:type="dxa"/>
            <w:shd w:val="pct20" w:color="auto" w:fill="auto"/>
          </w:tcPr>
          <w:p w:rsidR="00D45331" w:rsidRPr="00D45331" w:rsidRDefault="00D45331" w:rsidP="00D453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087" w:type="dxa"/>
            <w:gridSpan w:val="2"/>
            <w:shd w:val="pct20" w:color="auto" w:fill="auto"/>
          </w:tcPr>
          <w:p w:rsidR="00D45331" w:rsidRPr="00D45331" w:rsidRDefault="00D45331" w:rsidP="00D453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Mock Test Parameters</w:t>
            </w:r>
          </w:p>
        </w:tc>
      </w:tr>
      <w:tr w:rsidR="00D45331" w:rsidRPr="00D45331" w:rsidTr="00D45331">
        <w:trPr>
          <w:jc w:val="center"/>
        </w:trPr>
        <w:tc>
          <w:tcPr>
            <w:tcW w:w="2689" w:type="dxa"/>
          </w:tcPr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Position Limit</w:t>
            </w:r>
          </w:p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FF Member, OSBP, Overseas Intermediary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087" w:type="dxa"/>
            <w:gridSpan w:val="2"/>
            <w:vAlign w:val="center"/>
          </w:tcPr>
          <w:p w:rsidR="00D45331" w:rsidRPr="00D45331" w:rsidRDefault="00D45331" w:rsidP="00D4533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nterests of a certain contract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30,000 lots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）：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25%</w:t>
            </w:r>
          </w:p>
        </w:tc>
      </w:tr>
      <w:tr w:rsidR="00D45331" w:rsidRPr="00D45331" w:rsidTr="00D45331">
        <w:trPr>
          <w:trHeight w:val="158"/>
          <w:jc w:val="center"/>
        </w:trPr>
        <w:tc>
          <w:tcPr>
            <w:tcW w:w="2689" w:type="dxa"/>
            <w:vMerge w:val="restart"/>
            <w:vAlign w:val="center"/>
          </w:tcPr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Position Limit</w:t>
            </w:r>
          </w:p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D4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Non-FF Member, OSNBP, Client</w:t>
            </w: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378" w:type="dxa"/>
          </w:tcPr>
          <w:p w:rsidR="00D45331" w:rsidRPr="00D45331" w:rsidRDefault="00D45331" w:rsidP="00D45331">
            <w:pPr>
              <w:ind w:left="120" w:hangingChars="50" w:hanging="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rom the day of listing to the eight</w:t>
            </w:r>
            <w:r w:rsidR="00FC42F7">
              <w:rPr>
                <w:rFonts w:ascii="Times New Roman" w:eastAsia="仿宋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trading day prior to the last trading day.</w:t>
            </w:r>
          </w:p>
        </w:tc>
        <w:tc>
          <w:tcPr>
            <w:tcW w:w="709" w:type="dxa"/>
          </w:tcPr>
          <w:p w:rsidR="00D45331" w:rsidRPr="00D45331" w:rsidRDefault="00D45331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1200</w:t>
            </w:r>
          </w:p>
        </w:tc>
      </w:tr>
      <w:tr w:rsidR="00D45331" w:rsidRPr="00D45331" w:rsidTr="00D45331">
        <w:trPr>
          <w:trHeight w:val="157"/>
          <w:jc w:val="center"/>
        </w:trPr>
        <w:tc>
          <w:tcPr>
            <w:tcW w:w="2689" w:type="dxa"/>
            <w:vMerge/>
          </w:tcPr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45331" w:rsidRPr="00D45331" w:rsidRDefault="00D45331" w:rsidP="00D45331">
            <w:pPr>
              <w:ind w:left="120" w:hangingChars="50" w:hanging="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rom the seven</w:t>
            </w:r>
            <w:r w:rsidR="00FC42F7">
              <w:rPr>
                <w:rFonts w:ascii="Times New Roman" w:eastAsia="仿宋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trading day prior to the last trading day to the third trading day prior to the last trading day.</w:t>
            </w:r>
          </w:p>
        </w:tc>
        <w:tc>
          <w:tcPr>
            <w:tcW w:w="709" w:type="dxa"/>
          </w:tcPr>
          <w:p w:rsidR="00D45331" w:rsidRPr="00D45331" w:rsidRDefault="00D45331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360</w:t>
            </w:r>
          </w:p>
        </w:tc>
      </w:tr>
      <w:tr w:rsidR="00D45331" w:rsidRPr="00D45331" w:rsidTr="00D45331">
        <w:trPr>
          <w:trHeight w:val="157"/>
          <w:jc w:val="center"/>
        </w:trPr>
        <w:tc>
          <w:tcPr>
            <w:tcW w:w="2689" w:type="dxa"/>
            <w:vMerge/>
          </w:tcPr>
          <w:p w:rsidR="00D45331" w:rsidRPr="00D45331" w:rsidRDefault="00D45331" w:rsidP="00111EF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45331" w:rsidRPr="00D45331" w:rsidRDefault="00D45331" w:rsidP="00D45331">
            <w:pPr>
              <w:ind w:left="360" w:hangingChars="150" w:hanging="36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rom the second trading day prior to the last trading day to the last trading day.</w:t>
            </w:r>
          </w:p>
        </w:tc>
        <w:tc>
          <w:tcPr>
            <w:tcW w:w="709" w:type="dxa"/>
          </w:tcPr>
          <w:p w:rsidR="00D45331" w:rsidRPr="00D45331" w:rsidRDefault="00D45331" w:rsidP="00111EF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45331">
              <w:rPr>
                <w:rFonts w:ascii="Times New Roman" w:eastAsia="仿宋" w:hAnsi="Times New Roman" w:cs="Times New Roman"/>
                <w:sz w:val="24"/>
                <w:szCs w:val="24"/>
              </w:rPr>
              <w:t>120</w:t>
            </w:r>
          </w:p>
        </w:tc>
      </w:tr>
    </w:tbl>
    <w:p w:rsidR="00464395" w:rsidRPr="00D45331" w:rsidRDefault="00464395" w:rsidP="00464395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>Apply for Hedging and Arbitrage Quota</w:t>
      </w:r>
    </w:p>
    <w:p w:rsidR="00464395" w:rsidRPr="00D45331" w:rsidRDefault="00FC42F7" w:rsidP="00464395">
      <w:pPr>
        <w:pStyle w:val="a3"/>
        <w:widowControl/>
        <w:spacing w:line="600" w:lineRule="exact"/>
        <w:ind w:left="420" w:firstLine="600"/>
        <w:rPr>
          <w:rFonts w:ascii="Times New Roman" w:eastAsia="方正大标宋简体" w:hAnsi="Times New Roman" w:cs="Times New Roman"/>
          <w:kern w:val="36"/>
          <w:sz w:val="30"/>
          <w:szCs w:val="30"/>
        </w:rPr>
      </w:pPr>
      <w:r w:rsidRPr="00D45331">
        <w:rPr>
          <w:rFonts w:ascii="Times New Roman" w:eastAsia="Arial Unicode MS" w:hAnsi="Times New Roman" w:cs="Times New Roman"/>
          <w:sz w:val="30"/>
          <w:szCs w:val="30"/>
        </w:rPr>
        <w:t xml:space="preserve">Members apply for hedging and arbitrage quota for clients by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the </w:t>
      </w:r>
      <w:r w:rsidRPr="00D45331">
        <w:rPr>
          <w:rFonts w:ascii="Times New Roman" w:eastAsia="Arial Unicode MS" w:hAnsi="Times New Roman" w:cs="Times New Roman"/>
          <w:sz w:val="30"/>
          <w:szCs w:val="30"/>
        </w:rPr>
        <w:t xml:space="preserve">Mock Member Service System. Overseas Intermediaries apply for </w:t>
      </w:r>
      <w:r>
        <w:rPr>
          <w:rFonts w:ascii="Times New Roman" w:eastAsia="Arial Unicode MS" w:hAnsi="Times New Roman" w:cs="Times New Roman"/>
          <w:sz w:val="30"/>
          <w:szCs w:val="30"/>
        </w:rPr>
        <w:t>such quota</w:t>
      </w:r>
      <w:r w:rsidRPr="00D45331">
        <w:rPr>
          <w:rFonts w:ascii="Times New Roman" w:eastAsia="Arial Unicode MS" w:hAnsi="Times New Roman" w:cs="Times New Roman"/>
          <w:sz w:val="30"/>
          <w:szCs w:val="30"/>
        </w:rPr>
        <w:t xml:space="preserve"> by 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the </w:t>
      </w:r>
      <w:r w:rsidRPr="00D45331">
        <w:rPr>
          <w:rFonts w:ascii="Times New Roman" w:eastAsia="Arial Unicode MS" w:hAnsi="Times New Roman" w:cs="Times New Roman"/>
          <w:sz w:val="30"/>
          <w:szCs w:val="30"/>
        </w:rPr>
        <w:t>Mock Overseas Intermediary Service System.</w:t>
      </w:r>
    </w:p>
    <w:p w:rsidR="0000118F" w:rsidRPr="00162F5B" w:rsidRDefault="00464395" w:rsidP="0000118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 w:rsidRPr="00D45331">
        <w:rPr>
          <w:rFonts w:ascii="Times New Roman" w:eastAsia="方正大标宋简体" w:hAnsi="Times New Roman" w:cs="Times New Roman"/>
          <w:b/>
          <w:kern w:val="36"/>
          <w:sz w:val="30"/>
          <w:szCs w:val="30"/>
        </w:rPr>
        <w:t xml:space="preserve">Technical </w:t>
      </w:r>
      <w:r w:rsidR="0000118F" w:rsidRPr="00162F5B"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>Guidelines</w:t>
      </w:r>
    </w:p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lastRenderedPageBreak/>
        <w:t>Mock Trading System (accessed via the securities</w:t>
      </w: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and futures industry test network)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Front-ends Name Server (FENS) addresses: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42.24.1.47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42.24.1.48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To obtain the IP addresses of INE mock trading system through the FENS servers, please use TCP port 5901 for normal connections; to obtain the IP addresses of market data system through the FENS servers, please use TCP port 5903 for normal connections.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When dealing with the network security control strategy, all members and data vendors should open TCP ports 5901, 5903, 43005, 43011 to the network segment 42.24.1.0/24 and TCP ports 80, 443, 7002 to the network segment 42.24.1.0/24. Please ensure that the communication of the network segment and the protocol ports mentioned above is normal.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sz w:val="30"/>
          <w:szCs w:val="30"/>
        </w:rPr>
        <w:t>INE’s Level 1 market data has the subscription number of 5001 and is sent out twice per second.</w:t>
      </w:r>
    </w:p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Mock Second Generation Market Data Platform </w:t>
      </w:r>
      <w:r w:rsidRPr="00162F5B">
        <w:rPr>
          <w:rFonts w:ascii="Times New Roman" w:eastAsia="方正仿宋简体" w:hAnsi="Times New Roman" w:cs="Times New Roman"/>
          <w:sz w:val="30"/>
          <w:szCs w:val="30"/>
        </w:rPr>
        <w:t>(accessed via the securities</w:t>
      </w: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and futures industry test network)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Parameters for Market Data Inquiry</w:t>
      </w:r>
    </w:p>
    <w:tbl>
      <w:tblPr>
        <w:tblStyle w:val="a4"/>
        <w:tblW w:w="0" w:type="auto"/>
        <w:jc w:val="center"/>
        <w:tblLook w:val="04A0"/>
      </w:tblPr>
      <w:tblGrid>
        <w:gridCol w:w="2516"/>
        <w:gridCol w:w="1356"/>
        <w:gridCol w:w="1210"/>
      </w:tblGrid>
      <w:tr w:rsidR="0000118F" w:rsidRPr="00162F5B" w:rsidTr="00111EF1">
        <w:trPr>
          <w:jc w:val="center"/>
        </w:trPr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Network Channel</w:t>
            </w:r>
          </w:p>
        </w:tc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IP</w:t>
            </w:r>
          </w:p>
        </w:tc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TCP Port</w:t>
            </w:r>
          </w:p>
        </w:tc>
      </w:tr>
      <w:tr w:rsidR="0000118F" w:rsidRPr="00162F5B" w:rsidTr="00111EF1">
        <w:trPr>
          <w:jc w:val="center"/>
        </w:trPr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 Channel A</w:t>
            </w:r>
          </w:p>
        </w:tc>
        <w:tc>
          <w:tcPr>
            <w:tcW w:w="0" w:type="auto"/>
          </w:tcPr>
          <w:p w:rsidR="0000118F" w:rsidRPr="00162F5B" w:rsidRDefault="0000118F" w:rsidP="0000118F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42.24.1.1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43022</w:t>
            </w:r>
          </w:p>
        </w:tc>
      </w:tr>
      <w:tr w:rsidR="0000118F" w:rsidRPr="00162F5B" w:rsidTr="00111EF1">
        <w:trPr>
          <w:jc w:val="center"/>
        </w:trPr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lastRenderedPageBreak/>
              <w:t>Market Data Channel B</w:t>
            </w:r>
          </w:p>
        </w:tc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42.24.1.164</w:t>
            </w:r>
          </w:p>
        </w:tc>
        <w:tc>
          <w:tcPr>
            <w:tcW w:w="0" w:type="auto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43022</w:t>
            </w:r>
          </w:p>
        </w:tc>
      </w:tr>
    </w:tbl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Parameters for Incremental Market Data Inquiry</w:t>
      </w:r>
    </w:p>
    <w:tbl>
      <w:tblPr>
        <w:tblStyle w:val="a4"/>
        <w:tblW w:w="0" w:type="auto"/>
        <w:tblInd w:w="-5" w:type="dxa"/>
        <w:tblLook w:val="04A0"/>
      </w:tblPr>
      <w:tblGrid>
        <w:gridCol w:w="1701"/>
        <w:gridCol w:w="1484"/>
        <w:gridCol w:w="1716"/>
        <w:gridCol w:w="1228"/>
        <w:gridCol w:w="1356"/>
        <w:gridCol w:w="816"/>
      </w:tblGrid>
      <w:tr w:rsidR="0000118F" w:rsidRPr="00162F5B" w:rsidTr="00111EF1">
        <w:tc>
          <w:tcPr>
            <w:tcW w:w="1701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Market Data Type</w:t>
            </w:r>
          </w:p>
        </w:tc>
        <w:tc>
          <w:tcPr>
            <w:tcW w:w="1484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subscription number</w:t>
            </w:r>
          </w:p>
        </w:tc>
        <w:tc>
          <w:tcPr>
            <w:tcW w:w="1716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Network Channel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Group IP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Front IP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  <w:szCs w:val="24"/>
              </w:rPr>
              <w:t>Port</w:t>
            </w:r>
          </w:p>
        </w:tc>
      </w:tr>
      <w:tr w:rsidR="0000118F" w:rsidRPr="00162F5B" w:rsidTr="00111EF1">
        <w:tc>
          <w:tcPr>
            <w:tcW w:w="1701" w:type="dxa"/>
            <w:vMerge w:val="restart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INE’s Level 1 </w:t>
            </w: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single-counted based </w:t>
            </w: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</w:t>
            </w:r>
          </w:p>
        </w:tc>
        <w:tc>
          <w:tcPr>
            <w:tcW w:w="1484" w:type="dxa"/>
            <w:vMerge w:val="restart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5001</w:t>
            </w:r>
          </w:p>
        </w:tc>
        <w:tc>
          <w:tcPr>
            <w:tcW w:w="1716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 Channel A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00118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00118F" w:rsidRPr="00162F5B" w:rsidTr="00111EF1">
        <w:tc>
          <w:tcPr>
            <w:tcW w:w="1701" w:type="dxa"/>
            <w:vMerge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vMerge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 Channel B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00118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00118F" w:rsidRPr="00162F5B" w:rsidTr="00111EF1">
        <w:tc>
          <w:tcPr>
            <w:tcW w:w="1701" w:type="dxa"/>
            <w:vMerge w:val="restart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INE’s Level 5 </w:t>
            </w: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single-counted based</w:t>
            </w: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 xml:space="preserve"> Market Data</w:t>
            </w:r>
          </w:p>
        </w:tc>
        <w:tc>
          <w:tcPr>
            <w:tcW w:w="1484" w:type="dxa"/>
            <w:vMerge w:val="restart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5000</w:t>
            </w:r>
          </w:p>
        </w:tc>
        <w:tc>
          <w:tcPr>
            <w:tcW w:w="1716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 Channel A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  <w:tr w:rsidR="0000118F" w:rsidRPr="00162F5B" w:rsidTr="00111EF1">
        <w:tc>
          <w:tcPr>
            <w:tcW w:w="1701" w:type="dxa"/>
            <w:vMerge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vMerge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 w:rsidR="0000118F" w:rsidRPr="00162F5B" w:rsidRDefault="0000118F" w:rsidP="00111EF1">
            <w:pPr>
              <w:pStyle w:val="a3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4"/>
              </w:rPr>
              <w:t>Market Data Channel B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42.24.1.162</w:t>
            </w:r>
          </w:p>
        </w:tc>
        <w:tc>
          <w:tcPr>
            <w:tcW w:w="0" w:type="auto"/>
            <w:vAlign w:val="center"/>
          </w:tcPr>
          <w:p w:rsidR="0000118F" w:rsidRPr="00162F5B" w:rsidRDefault="0000118F" w:rsidP="00111EF1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62F5B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</w:tbl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Mock Member Service System (accessed via the securities and futures industry test network)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http://42.24.1.245</w:t>
      </w:r>
    </w:p>
    <w:p w:rsidR="00266404" w:rsidRDefault="00266404" w:rsidP="00812D7E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bCs/>
          <w:kern w:val="0"/>
          <w:sz w:val="30"/>
          <w:szCs w:val="30"/>
        </w:rPr>
        <w:t>M</w:t>
      </w:r>
      <w:r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ock </w:t>
      </w:r>
      <w:r w:rsidR="00812D7E" w:rsidRPr="00812D7E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Overseas Intermediary Service System</w:t>
      </w:r>
      <w:r w:rsidR="00812D7E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</w:t>
      </w:r>
      <w:r w:rsidR="00812D7E"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(accessed via</w:t>
      </w:r>
      <w:r w:rsidR="00812D7E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Internet)</w:t>
      </w:r>
    </w:p>
    <w:p w:rsidR="00812D7E" w:rsidRPr="00812D7E" w:rsidRDefault="00A47BF2" w:rsidP="00812D7E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hyperlink r:id="rId7" w:history="1">
        <w:r w:rsidR="00812D7E" w:rsidRPr="00812D7E">
          <w:rPr>
            <w:rFonts w:ascii="Times New Roman" w:eastAsia="仿宋" w:hAnsi="Times New Roman" w:cs="Times New Roman"/>
            <w:sz w:val="30"/>
            <w:szCs w:val="30"/>
          </w:rPr>
          <w:t>https://124.74.244.145</w:t>
        </w:r>
      </w:hyperlink>
      <w:r w:rsidR="00812D7E" w:rsidRPr="00812D7E">
        <w:rPr>
          <w:rFonts w:ascii="Times New Roman" w:eastAsia="仿宋" w:hAnsi="Times New Roman" w:cs="Times New Roman"/>
          <w:sz w:val="30"/>
          <w:szCs w:val="30"/>
        </w:rPr>
        <w:t xml:space="preserve"> or </w:t>
      </w:r>
      <w:hyperlink r:id="rId8" w:history="1">
        <w:r w:rsidR="00812D7E" w:rsidRPr="00812D7E">
          <w:rPr>
            <w:rFonts w:ascii="Times New Roman" w:eastAsia="仿宋" w:hAnsi="Times New Roman" w:cs="Times New Roman"/>
            <w:sz w:val="30"/>
            <w:szCs w:val="30"/>
          </w:rPr>
          <w:t>https://220.248.39.145</w:t>
        </w:r>
      </w:hyperlink>
    </w:p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Mock Settlement Data API (accessed via internet)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IP</w:t>
      </w:r>
      <w:r w:rsidRPr="00162F5B">
        <w:rPr>
          <w:rFonts w:ascii="Times New Roman" w:eastAsia="方正仿宋简体" w:hAnsi="Times New Roman" w:cs="Times New Roman" w:hint="eastAsia"/>
          <w:bCs/>
          <w:kern w:val="0"/>
          <w:sz w:val="30"/>
          <w:szCs w:val="30"/>
        </w:rPr>
        <w:t>:</w:t>
      </w: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42.24.1.149   Port: 443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API Opening Hours: </w:t>
      </w:r>
      <w:r w:rsidRPr="00162F5B">
        <w:rPr>
          <w:rFonts w:ascii="Times New Roman" w:eastAsia="方正仿宋简体" w:hAnsi="Times New Roman" w:cs="Times New Roman" w:hint="eastAsia"/>
          <w:bCs/>
          <w:kern w:val="0"/>
          <w:sz w:val="30"/>
          <w:szCs w:val="30"/>
        </w:rPr>
        <w:t>15:00</w:t>
      </w: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- </w:t>
      </w:r>
      <w:r w:rsidRPr="00162F5B">
        <w:rPr>
          <w:rFonts w:ascii="Times New Roman" w:eastAsia="方正仿宋简体" w:hAnsi="Times New Roman" w:cs="Times New Roman" w:hint="eastAsia"/>
          <w:bCs/>
          <w:kern w:val="0"/>
          <w:sz w:val="30"/>
          <w:szCs w:val="30"/>
        </w:rPr>
        <w:t>21:00</w:t>
      </w: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on trading day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Please acquire the user and certificate from the announcement which was posted on mock member service system on February 23, 2021.</w:t>
      </w:r>
    </w:p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CFMMC’s Mock Unified Account Opening System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If a new client account is needed, please apply through the following addresses:</w:t>
      </w:r>
    </w:p>
    <w:p w:rsidR="0000118F" w:rsidRPr="00162F5B" w:rsidRDefault="0000118F" w:rsidP="0000118F">
      <w:pPr>
        <w:pStyle w:val="a3"/>
        <w:numPr>
          <w:ilvl w:val="2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lastRenderedPageBreak/>
        <w:t>Web Addresses</w:t>
      </w:r>
    </w:p>
    <w:p w:rsidR="0000118F" w:rsidRPr="00162F5B" w:rsidRDefault="0000118F" w:rsidP="0000118F">
      <w:pPr>
        <w:pStyle w:val="a3"/>
        <w:numPr>
          <w:ilvl w:val="0"/>
          <w:numId w:val="2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Accessed via Internet</w:t>
      </w:r>
    </w:p>
    <w:p w:rsidR="0000118F" w:rsidRPr="00162F5B" w:rsidRDefault="0000118F" w:rsidP="0000118F">
      <w:pPr>
        <w:pStyle w:val="a3"/>
        <w:ind w:left="162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https://42.0.2.2:7002/test</w:t>
      </w:r>
    </w:p>
    <w:p w:rsidR="0000118F" w:rsidRPr="00162F5B" w:rsidRDefault="0000118F" w:rsidP="0000118F">
      <w:pPr>
        <w:pStyle w:val="a3"/>
        <w:numPr>
          <w:ilvl w:val="2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API Addresses</w:t>
      </w:r>
    </w:p>
    <w:p w:rsidR="0000118F" w:rsidRPr="00162F5B" w:rsidRDefault="0000118F" w:rsidP="0000118F">
      <w:pPr>
        <w:pStyle w:val="a3"/>
        <w:ind w:left="162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ssl://42.0.2.3:51002</w:t>
      </w:r>
    </w:p>
    <w:p w:rsidR="0000118F" w:rsidRPr="00162F5B" w:rsidRDefault="0000118F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Submit Post-trade Data to CFMMC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28"/>
          <w:szCs w:val="28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Dedicated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 xml:space="preserve"> line network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28"/>
          <w:szCs w:val="28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I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P: 15.9.11.45  Port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：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9000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28"/>
          <w:szCs w:val="28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S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ecurities and futures industry test network</w:t>
      </w:r>
    </w:p>
    <w:p w:rsidR="0000118F" w:rsidRPr="00162F5B" w:rsidRDefault="0000118F" w:rsidP="0000118F">
      <w:pPr>
        <w:pStyle w:val="a3"/>
        <w:ind w:left="840" w:firstLineChars="0" w:firstLine="0"/>
        <w:rPr>
          <w:rFonts w:ascii="Times New Roman" w:eastAsia="方正仿宋简体" w:hAnsi="Times New Roman" w:cs="Times New Roman"/>
          <w:sz w:val="28"/>
          <w:szCs w:val="28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I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P: 42.0.2.4  Port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：</w:t>
      </w:r>
      <w:r w:rsidRPr="00162F5B">
        <w:rPr>
          <w:rFonts w:ascii="Times New Roman" w:eastAsia="方正仿宋简体" w:hAnsi="Times New Roman" w:cs="Times New Roman"/>
          <w:sz w:val="28"/>
          <w:szCs w:val="28"/>
        </w:rPr>
        <w:t>9000</w:t>
      </w:r>
    </w:p>
    <w:p w:rsidR="0000118F" w:rsidRPr="00162F5B" w:rsidRDefault="00812D7E" w:rsidP="0000118F">
      <w:pPr>
        <w:pStyle w:val="a3"/>
        <w:numPr>
          <w:ilvl w:val="1"/>
          <w:numId w:val="1"/>
        </w:numPr>
        <w:ind w:firstLineChars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Notes</w:t>
      </w:r>
    </w:p>
    <w:p w:rsidR="0000118F" w:rsidRPr="00162F5B" w:rsidRDefault="0000118F" w:rsidP="0000118F">
      <w:pPr>
        <w:pStyle w:val="a3"/>
        <w:ind w:left="839" w:firstLine="60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Please prepare for the systems in advance. If more funds are needed for the mock test, please contact INE for application.</w:t>
      </w:r>
      <w:r w:rsidR="00812D7E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</w:t>
      </w:r>
      <w:r w:rsidR="00812D7E"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This mock test does not involve client unified account opening</w:t>
      </w:r>
      <w:proofErr w:type="gramStart"/>
      <w:r w:rsidR="00812D7E"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,  standard</w:t>
      </w:r>
      <w:proofErr w:type="gramEnd"/>
      <w:r w:rsidR="00812D7E"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 warrants business, bank funds transfer and other related businesses.</w:t>
      </w:r>
    </w:p>
    <w:p w:rsidR="0000118F" w:rsidRPr="00162F5B" w:rsidRDefault="0000118F" w:rsidP="0000118F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kern w:val="36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/>
          <w:kern w:val="36"/>
          <w:sz w:val="30"/>
          <w:szCs w:val="30"/>
        </w:rPr>
        <w:t>Contract Information</w:t>
      </w:r>
    </w:p>
    <w:p w:rsidR="0000118F" w:rsidRPr="00162F5B" w:rsidRDefault="0000118F" w:rsidP="0000118F">
      <w:pPr>
        <w:pStyle w:val="a3"/>
        <w:widowControl/>
        <w:spacing w:line="600" w:lineRule="exact"/>
        <w:ind w:left="42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 xml:space="preserve">Business Consultation: </w:t>
      </w:r>
      <w:r w:rsidR="00B04A20" w:rsidRPr="00D45331">
        <w:rPr>
          <w:rFonts w:ascii="Times New Roman" w:eastAsia="Arial Unicode MS" w:hAnsi="Times New Roman" w:cs="Times New Roman"/>
          <w:sz w:val="30"/>
          <w:szCs w:val="30"/>
        </w:rPr>
        <w:t>021-</w:t>
      </w:r>
      <w:r w:rsidR="00B04A20">
        <w:rPr>
          <w:rFonts w:ascii="Times New Roman" w:eastAsia="Arial Unicode MS" w:hAnsi="Times New Roman" w:cs="Times New Roman"/>
          <w:sz w:val="30"/>
          <w:szCs w:val="30"/>
        </w:rPr>
        <w:t>68400230, 021-68400261</w:t>
      </w:r>
    </w:p>
    <w:p w:rsidR="0000118F" w:rsidRPr="00162F5B" w:rsidRDefault="0000118F" w:rsidP="0000118F">
      <w:pPr>
        <w:pStyle w:val="a3"/>
        <w:widowControl/>
        <w:spacing w:line="600" w:lineRule="exact"/>
        <w:ind w:left="42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Technical Consultation: 021-</w:t>
      </w:r>
      <w:r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20616345</w:t>
      </w:r>
    </w:p>
    <w:p w:rsidR="0000118F" w:rsidRPr="00162F5B" w:rsidRDefault="0000118F" w:rsidP="0000118F">
      <w:pPr>
        <w:pStyle w:val="a3"/>
        <w:widowControl/>
        <w:spacing w:line="600" w:lineRule="exact"/>
        <w:ind w:left="420" w:firstLineChars="0" w:firstLine="0"/>
        <w:rPr>
          <w:rFonts w:ascii="Times New Roman" w:eastAsia="方正仿宋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Mail: tech@shfe.com.cn</w:t>
      </w:r>
    </w:p>
    <w:p w:rsidR="00464395" w:rsidRPr="00D45331" w:rsidRDefault="0000118F" w:rsidP="00812D7E">
      <w:pPr>
        <w:pStyle w:val="a3"/>
        <w:widowControl/>
        <w:spacing w:line="600" w:lineRule="exact"/>
        <w:ind w:left="420" w:firstLineChars="0" w:firstLine="0"/>
        <w:rPr>
          <w:rFonts w:ascii="Times New Roman" w:eastAsia="方正楷体简体" w:hAnsi="Times New Roman" w:cs="Times New Roman"/>
          <w:bCs/>
          <w:kern w:val="0"/>
          <w:sz w:val="30"/>
          <w:szCs w:val="30"/>
        </w:rPr>
      </w:pPr>
      <w:r w:rsidRPr="00162F5B">
        <w:rPr>
          <w:rFonts w:ascii="Times New Roman" w:eastAsia="方正仿宋简体" w:hAnsi="Times New Roman" w:cs="Times New Roman"/>
          <w:bCs/>
          <w:kern w:val="0"/>
          <w:sz w:val="30"/>
          <w:szCs w:val="30"/>
        </w:rPr>
        <w:t>Fax: 021-68400385</w:t>
      </w:r>
    </w:p>
    <w:p w:rsidR="00ED342F" w:rsidRPr="00D45331" w:rsidRDefault="00ED342F" w:rsidP="00464395">
      <w:pPr>
        <w:widowControl/>
        <w:jc w:val="left"/>
        <w:rPr>
          <w:rFonts w:ascii="Times New Roman" w:eastAsia="Arial Unicode MS" w:hAnsi="Times New Roman" w:cs="Times New Roman"/>
          <w:sz w:val="30"/>
          <w:szCs w:val="30"/>
        </w:rPr>
      </w:pPr>
    </w:p>
    <w:sectPr w:rsidR="00ED342F" w:rsidRPr="00D45331" w:rsidSect="0003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C1" w:rsidRDefault="00D82FC1" w:rsidP="003719F2">
      <w:r>
        <w:separator/>
      </w:r>
    </w:p>
  </w:endnote>
  <w:endnote w:type="continuationSeparator" w:id="0">
    <w:p w:rsidR="00D82FC1" w:rsidRDefault="00D82FC1" w:rsidP="0037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C1" w:rsidRDefault="00D82FC1" w:rsidP="003719F2">
      <w:r>
        <w:separator/>
      </w:r>
    </w:p>
  </w:footnote>
  <w:footnote w:type="continuationSeparator" w:id="0">
    <w:p w:rsidR="00D82FC1" w:rsidRDefault="00D82FC1" w:rsidP="00371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B5D"/>
    <w:multiLevelType w:val="hybridMultilevel"/>
    <w:tmpl w:val="3C620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64A8FA6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94CE2"/>
    <w:multiLevelType w:val="hybridMultilevel"/>
    <w:tmpl w:val="6AF6DE96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2F"/>
    <w:rsid w:val="0000118F"/>
    <w:rsid w:val="000176F4"/>
    <w:rsid w:val="00032093"/>
    <w:rsid w:val="00076B1B"/>
    <w:rsid w:val="000A2671"/>
    <w:rsid w:val="000D023A"/>
    <w:rsid w:val="00131ACF"/>
    <w:rsid w:val="001E1ABF"/>
    <w:rsid w:val="001E5C56"/>
    <w:rsid w:val="002629EB"/>
    <w:rsid w:val="00266404"/>
    <w:rsid w:val="002804D7"/>
    <w:rsid w:val="003719F2"/>
    <w:rsid w:val="003726CC"/>
    <w:rsid w:val="003A10F2"/>
    <w:rsid w:val="003F3BDC"/>
    <w:rsid w:val="004600E3"/>
    <w:rsid w:val="00464395"/>
    <w:rsid w:val="004C70DC"/>
    <w:rsid w:val="004E5B42"/>
    <w:rsid w:val="005C5979"/>
    <w:rsid w:val="00656E77"/>
    <w:rsid w:val="00660CD6"/>
    <w:rsid w:val="006D69F7"/>
    <w:rsid w:val="007143E5"/>
    <w:rsid w:val="00775EBA"/>
    <w:rsid w:val="00795ED0"/>
    <w:rsid w:val="00812D7E"/>
    <w:rsid w:val="008351BF"/>
    <w:rsid w:val="008926F7"/>
    <w:rsid w:val="008936FE"/>
    <w:rsid w:val="008B64E5"/>
    <w:rsid w:val="00922B15"/>
    <w:rsid w:val="00A143B6"/>
    <w:rsid w:val="00A240A9"/>
    <w:rsid w:val="00A47BF2"/>
    <w:rsid w:val="00B04A20"/>
    <w:rsid w:val="00B90AB3"/>
    <w:rsid w:val="00C02BA3"/>
    <w:rsid w:val="00D45331"/>
    <w:rsid w:val="00D809E9"/>
    <w:rsid w:val="00D82FC1"/>
    <w:rsid w:val="00DF0A3B"/>
    <w:rsid w:val="00E45946"/>
    <w:rsid w:val="00ED342F"/>
    <w:rsid w:val="00F65C7F"/>
    <w:rsid w:val="00F975B5"/>
    <w:rsid w:val="00FC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95"/>
    <w:pPr>
      <w:ind w:firstLineChars="200" w:firstLine="420"/>
    </w:pPr>
    <w:rPr>
      <w:rFonts w:ascii="Calibri" w:eastAsia="宋体" w:hAnsi="Calibri" w:cs="Calibri"/>
      <w:szCs w:val="21"/>
    </w:rPr>
  </w:style>
  <w:style w:type="table" w:styleId="a4">
    <w:name w:val="Table Grid"/>
    <w:basedOn w:val="a1"/>
    <w:uiPriority w:val="39"/>
    <w:rsid w:val="0046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0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1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1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0.248.39.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24.74.244.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4577</Characters>
  <Application>Microsoft Office Word</Application>
  <DocSecurity>0</DocSecurity>
  <Lines>38</Lines>
  <Paragraphs>10</Paragraphs>
  <ScaleCrop>false</ScaleCrop>
  <Company>SHFE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邵晟</dc:creator>
  <cp:lastModifiedBy>郑子函</cp:lastModifiedBy>
  <cp:revision>2</cp:revision>
  <dcterms:created xsi:type="dcterms:W3CDTF">2023-05-23T07:31:00Z</dcterms:created>
  <dcterms:modified xsi:type="dcterms:W3CDTF">2023-05-23T07:31:00Z</dcterms:modified>
</cp:coreProperties>
</file>