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37" w:rsidRPr="002040DD" w:rsidRDefault="00164D37" w:rsidP="00164D37">
      <w:pPr>
        <w:widowControl/>
        <w:jc w:val="left"/>
      </w:pPr>
      <w:r>
        <w:rPr>
          <w:rFonts w:ascii="Times New Roman" w:hAnsi="Times New Roman" w:hint="eastAsia"/>
          <w:b/>
          <w:bCs/>
          <w:sz w:val="22"/>
        </w:rPr>
        <w:t>Appendix 2</w:t>
      </w:r>
    </w:p>
    <w:p w:rsidR="00164D37" w:rsidRDefault="00164D37" w:rsidP="00164D37">
      <w:pPr>
        <w:pStyle w:val="1"/>
        <w:spacing w:after="240" w:line="360" w:lineRule="auto"/>
        <w:jc w:val="center"/>
        <w:rPr>
          <w:sz w:val="24"/>
          <w:szCs w:val="24"/>
        </w:rPr>
      </w:pPr>
      <w:bookmarkStart w:id="0" w:name="OLE_LINK1"/>
      <w:r>
        <w:rPr>
          <w:sz w:val="24"/>
          <w:szCs w:val="24"/>
        </w:rPr>
        <w:t>Trading Rules of the Shanghai International Energy Exchange</w:t>
      </w:r>
      <w:bookmarkEnd w:id="0"/>
    </w:p>
    <w:p w:rsidR="00164D37" w:rsidRDefault="00164D37" w:rsidP="008D2CD4">
      <w:pPr>
        <w:snapToGrid w:val="0"/>
        <w:spacing w:afterLines="100" w:line="360" w:lineRule="auto"/>
        <w:jc w:val="center"/>
        <w:rPr>
          <w:rFonts w:ascii="Times New Roman" w:hAnsi="Times New Roman"/>
          <w:sz w:val="24"/>
          <w:szCs w:val="24"/>
        </w:rPr>
      </w:pPr>
      <w:bookmarkStart w:id="1" w:name="_Hlk86237144"/>
      <w:r>
        <w:rPr>
          <w:rFonts w:ascii="Times New Roman" w:hAnsi="Times New Roman"/>
          <w:sz w:val="24"/>
          <w:szCs w:val="24"/>
        </w:rPr>
        <w:t>(</w:t>
      </w:r>
      <w:r>
        <w:rPr>
          <w:rFonts w:ascii="Times New Roman" w:hAnsi="Times New Roman"/>
          <w:sz w:val="22"/>
        </w:rPr>
        <w:t>Released and implemented on May 11, 2017; revised on August 2, 2019 for the first time; June 10, 2020 for the second time; November 11, 2020 for the thir</w:t>
      </w:r>
      <w:bookmarkStart w:id="2" w:name="_GoBack"/>
      <w:bookmarkEnd w:id="2"/>
      <w:r>
        <w:rPr>
          <w:rFonts w:ascii="Times New Roman" w:hAnsi="Times New Roman"/>
          <w:sz w:val="22"/>
        </w:rPr>
        <w:t>d time; June 11, 2021 for the fourth time; November 26, 2021 for the fifth time; May 26, 202</w:t>
      </w:r>
      <w:r>
        <w:rPr>
          <w:rFonts w:ascii="Times New Roman" w:hAnsi="Times New Roman" w:hint="eastAsia"/>
          <w:sz w:val="22"/>
        </w:rPr>
        <w:t>3</w:t>
      </w:r>
      <w:r>
        <w:rPr>
          <w:rFonts w:ascii="Times New Roman" w:hAnsi="Times New Roman"/>
          <w:sz w:val="22"/>
        </w:rPr>
        <w:t xml:space="preserve"> for the sixth time; August 11, 2023 for the seventh time;</w:t>
      </w:r>
      <w:r w:rsidR="005D701E">
        <w:rPr>
          <w:rFonts w:ascii="Times New Roman" w:hAnsi="Times New Roman" w:hint="eastAsia"/>
          <w:sz w:val="22"/>
        </w:rPr>
        <w:t xml:space="preserve"> </w:t>
      </w:r>
      <w:r w:rsidR="005D701E">
        <w:rPr>
          <w:rFonts w:ascii="Times New Roman" w:hAnsi="Times New Roman" w:cs="Arial"/>
          <w:kern w:val="0"/>
          <w:sz w:val="22"/>
        </w:rPr>
        <w:t>November 2</w:t>
      </w:r>
      <w:r w:rsidR="005D701E">
        <w:rPr>
          <w:rFonts w:ascii="Times New Roman" w:hAnsi="Times New Roman" w:cs="Arial" w:hint="eastAsia"/>
          <w:kern w:val="0"/>
          <w:sz w:val="22"/>
        </w:rPr>
        <w:t>1</w:t>
      </w:r>
      <w:r w:rsidR="008D2CD4">
        <w:rPr>
          <w:rFonts w:ascii="Times New Roman" w:hAnsi="Times New Roman"/>
          <w:sz w:val="22"/>
        </w:rPr>
        <w:t>,</w:t>
      </w:r>
      <w:r w:rsidR="008D2CD4">
        <w:rPr>
          <w:rFonts w:ascii="Times New Roman" w:hAnsi="Times New Roman" w:hint="eastAsia"/>
          <w:sz w:val="22"/>
        </w:rPr>
        <w:t xml:space="preserve"> </w:t>
      </w:r>
      <w:r>
        <w:rPr>
          <w:rFonts w:ascii="Times New Roman" w:hAnsi="Times New Roman"/>
          <w:sz w:val="22"/>
        </w:rPr>
        <w:t>2023 for the eighth time</w:t>
      </w:r>
      <w:r>
        <w:rPr>
          <w:rFonts w:ascii="Times New Roman" w:hAnsi="Times New Roman"/>
          <w:sz w:val="24"/>
          <w:szCs w:val="24"/>
        </w:rPr>
        <w:t>)</w:t>
      </w:r>
    </w:p>
    <w:bookmarkEnd w:id="1"/>
    <w:p w:rsidR="00164D37" w:rsidRDefault="00164D37" w:rsidP="00164D37">
      <w:pPr>
        <w:pStyle w:val="1"/>
        <w:spacing w:after="240" w:line="360" w:lineRule="auto"/>
        <w:jc w:val="center"/>
        <w:rPr>
          <w:sz w:val="24"/>
          <w:szCs w:val="24"/>
        </w:rPr>
      </w:pPr>
      <w:r>
        <w:rPr>
          <w:sz w:val="24"/>
          <w:szCs w:val="24"/>
        </w:rPr>
        <w:t>Chapter 1</w:t>
      </w:r>
      <w:r>
        <w:rPr>
          <w:sz w:val="24"/>
          <w:szCs w:val="24"/>
        </w:rPr>
        <w:tab/>
        <w:t>General Provisions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sidR="00E435D6">
        <w:rPr>
          <w:rFonts w:ascii="Times New Roman" w:hAnsi="Times New Roman" w:hint="eastAsia"/>
          <w:i/>
          <w:sz w:val="24"/>
          <w:szCs w:val="24"/>
        </w:rPr>
        <w:t xml:space="preserve"> </w:t>
      </w:r>
      <w:r>
        <w:rPr>
          <w:rFonts w:ascii="Times New Roman" w:hAnsi="Times New Roman"/>
          <w:i/>
          <w:sz w:val="24"/>
          <w:szCs w:val="24"/>
        </w:rPr>
        <w:t>of the Shanghai International Energy Exchange</w:t>
      </w:r>
      <w:r>
        <w:rPr>
          <w:rFonts w:ascii="Times New Roman" w:hAnsi="Times New Roman"/>
          <w:sz w:val="24"/>
          <w:szCs w:val="24"/>
        </w:rPr>
        <w:t xml:space="preserve"> (hereinafter referred to as the “</w:t>
      </w:r>
      <w:r>
        <w:rPr>
          <w:rFonts w:ascii="Times New Roman" w:hAnsi="Times New Roman"/>
          <w:i/>
          <w:sz w:val="24"/>
          <w:szCs w:val="24"/>
        </w:rPr>
        <w:t>Trading Rules</w:t>
      </w:r>
      <w:r>
        <w:rPr>
          <w:rFonts w:ascii="Times New Roman" w:hAnsi="Times New Roman"/>
          <w:sz w:val="24"/>
          <w:szCs w:val="24"/>
        </w:rPr>
        <w:t xml:space="preserve">”) are formulated pursuant to the </w:t>
      </w:r>
      <w:r>
        <w:rPr>
          <w:rFonts w:ascii="Times New Roman" w:hAnsi="Times New Roman"/>
          <w:i/>
          <w:sz w:val="24"/>
          <w:szCs w:val="24"/>
        </w:rPr>
        <w:t>General Exchange Rules of the Shanghai International Energy Exchange</w:t>
      </w:r>
      <w:r>
        <w:rPr>
          <w:rFonts w:ascii="Times New Roman" w:hAnsi="Times New Roman"/>
          <w:sz w:val="24"/>
          <w:szCs w:val="24"/>
        </w:rPr>
        <w:t>, in order to regulate the futures trading activities, protect the legitimate rights and interests of all parties in futures trading, and maintain the orders of futures trading at the Shanghai International Energy Exchange (hereinafter referred to as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are binding on the Exchange and its Members, Overseas Special Participants (hereinafter referred to as the “OSPs”), Overseas Intermediaries and Clients.</w:t>
      </w:r>
    </w:p>
    <w:p w:rsidR="00164D37" w:rsidRDefault="00164D37" w:rsidP="00164D37">
      <w:pPr>
        <w:pStyle w:val="1"/>
        <w:spacing w:after="240" w:line="360" w:lineRule="auto"/>
        <w:jc w:val="center"/>
        <w:rPr>
          <w:sz w:val="24"/>
          <w:szCs w:val="24"/>
        </w:rPr>
      </w:pPr>
      <w:r>
        <w:rPr>
          <w:sz w:val="24"/>
          <w:szCs w:val="24"/>
        </w:rPr>
        <w:t>Chapter 2</w:t>
      </w:r>
      <w:r>
        <w:rPr>
          <w:sz w:val="24"/>
          <w:szCs w:val="24"/>
        </w:rPr>
        <w:tab/>
        <w:t>Trading Seats Management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w:t>
      </w:r>
      <w:r>
        <w:rPr>
          <w:rFonts w:ascii="Times New Roman" w:hAnsi="Times New Roman"/>
          <w:b/>
          <w:sz w:val="24"/>
          <w:szCs w:val="24"/>
        </w:rPr>
        <w:tab/>
      </w:r>
      <w:r>
        <w:rPr>
          <w:rFonts w:ascii="Times New Roman" w:hAnsi="Times New Roman"/>
          <w:sz w:val="24"/>
          <w:szCs w:val="24"/>
        </w:rPr>
        <w:t>A “trading seat” refers to the access through which a Member or an OSP places orders for execution into the Exchange’s electronic trading system for matching.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Multiple computer terminals can be connected to one trading seat through a server.</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w:t>
      </w:r>
      <w:r>
        <w:rPr>
          <w:rFonts w:ascii="Times New Roman" w:hAnsi="Times New Roman"/>
          <w:b/>
          <w:sz w:val="24"/>
          <w:szCs w:val="24"/>
        </w:rPr>
        <w:tab/>
      </w:r>
      <w:r>
        <w:rPr>
          <w:rFonts w:ascii="Times New Roman" w:hAnsi="Times New Roman"/>
          <w:sz w:val="24"/>
          <w:szCs w:val="24"/>
        </w:rPr>
        <w:t>A Member or an OSP may apply to the Exchange for the corresponding numbers of trading seats according to its business needs.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w:t>
      </w:r>
      <w:r>
        <w:rPr>
          <w:rFonts w:ascii="Times New Roman" w:hAnsi="Times New Roman"/>
          <w:b/>
          <w:sz w:val="24"/>
          <w:szCs w:val="24"/>
        </w:rPr>
        <w:tab/>
      </w:r>
      <w:r>
        <w:rPr>
          <w:rFonts w:ascii="Times New Roman" w:hAnsi="Times New Roman"/>
          <w:sz w:val="24"/>
          <w:szCs w:val="24"/>
        </w:rPr>
        <w:t>A Member or an OSP applying for a trading seat shall meet the following criteria:</w:t>
      </w:r>
    </w:p>
    <w:p w:rsidR="00164D37" w:rsidRDefault="00164D37" w:rsidP="008D2CD4">
      <w:pPr>
        <w:tabs>
          <w:tab w:val="left" w:pos="426"/>
        </w:tabs>
        <w:snapToGrid w:val="0"/>
        <w:spacing w:afterLines="100" w:line="360" w:lineRule="auto"/>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satisfying the requirements of trading volume and capital set forth by the Exchange;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having necessary telecommunication facilities and funds transfer conditions at the proposed remote trading premises in compliance with the Exchange’s operational requirements for futures trading;</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being equipped with a stable and reliable computer system with backup systems, a telecommunication system (including telecommunication route), and appropriate telecommunication experts;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having sound internal rules and remote trading management measures; and</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operating in good condition and having no record of default or severe rule violations.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w:t>
      </w:r>
      <w:r>
        <w:rPr>
          <w:rFonts w:ascii="Times New Roman" w:hAnsi="Times New Roman"/>
          <w:b/>
          <w:sz w:val="24"/>
          <w:szCs w:val="24"/>
        </w:rPr>
        <w:tab/>
      </w:r>
      <w:r>
        <w:rPr>
          <w:rFonts w:ascii="Times New Roman" w:hAnsi="Times New Roman"/>
          <w:sz w:val="24"/>
          <w:szCs w:val="24"/>
        </w:rPr>
        <w:t>A Member or an OSP applying for a trading seat shall submit the following materials to the Exchange: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purpose and types of the trading seat;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installation address and descriptions of the trading seat;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software and version information of the trading system;</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Client type and number of Clients; and</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other materials as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w:t>
      </w:r>
      <w:r>
        <w:rPr>
          <w:rFonts w:ascii="Times New Roman" w:hAnsi="Times New Roman"/>
          <w:b/>
          <w:sz w:val="24"/>
          <w:szCs w:val="24"/>
        </w:rPr>
        <w:tab/>
      </w:r>
      <w:r>
        <w:rPr>
          <w:rFonts w:ascii="Times New Roman" w:hAnsi="Times New Roman"/>
          <w:sz w:val="24"/>
          <w:szCs w:val="24"/>
        </w:rPr>
        <w:t>The Exchange shall respond to the application in writing within ten (10) trading days as of receiving the complete application materials conforming to the requirements. If the application is approved, the Exchange shall notify the Members and OSPs to test the system. If the application is not approved, the Exchange shall inform the applicant with reasons.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w:t>
      </w:r>
      <w:r>
        <w:rPr>
          <w:rFonts w:ascii="Times New Roman" w:hAnsi="Times New Roman"/>
          <w:b/>
          <w:sz w:val="24"/>
          <w:szCs w:val="24"/>
        </w:rPr>
        <w:tab/>
      </w:r>
      <w:r>
        <w:rPr>
          <w:rFonts w:ascii="Times New Roman" w:hAnsi="Times New Roman"/>
          <w:sz w:val="24"/>
          <w:szCs w:val="24"/>
        </w:rPr>
        <w:t xml:space="preserve">Members and OSPs shall complete the trading facilities installation and </w:t>
      </w:r>
      <w:r>
        <w:rPr>
          <w:rFonts w:ascii="Times New Roman" w:hAnsi="Times New Roman"/>
          <w:sz w:val="24"/>
          <w:szCs w:val="24"/>
        </w:rPr>
        <w:lastRenderedPageBreak/>
        <w:t>system testing, and engage in the overall testing and simulation operation organized by the Exchange. A trading seat shall not be put into use until all the necessary requirements for the trading facilities installation and system testing are satisfied.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9</w:t>
      </w:r>
      <w:r>
        <w:rPr>
          <w:rFonts w:ascii="Times New Roman" w:hAnsi="Times New Roman"/>
          <w:b/>
          <w:sz w:val="24"/>
          <w:szCs w:val="24"/>
        </w:rPr>
        <w:tab/>
      </w:r>
      <w:r>
        <w:rPr>
          <w:rFonts w:ascii="Times New Roman" w:hAnsi="Times New Roman"/>
          <w:sz w:val="24"/>
          <w:szCs w:val="24"/>
        </w:rPr>
        <w:t>For the trading seats granted, the applicant shall pay the trading seats fee annually. An undertaking letter of using the trading seats shall be submitted to the Exchange for the first time.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Trading seats fee collected shall not be refunded for any trading seat cancelled.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10</w:t>
      </w:r>
      <w:r>
        <w:rPr>
          <w:rFonts w:ascii="Times New Roman" w:hAnsi="Times New Roman"/>
          <w:b/>
          <w:sz w:val="24"/>
          <w:szCs w:val="24"/>
        </w:rPr>
        <w:tab/>
      </w:r>
      <w:r>
        <w:rPr>
          <w:rFonts w:ascii="Times New Roman" w:hAnsi="Times New Roman"/>
          <w:sz w:val="24"/>
          <w:szCs w:val="24"/>
        </w:rPr>
        <w:t>The trading seats fee standards shall be prescribed by the Exchange separately.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11</w:t>
      </w:r>
      <w:r>
        <w:rPr>
          <w:rFonts w:ascii="Times New Roman" w:hAnsi="Times New Roman"/>
          <w:b/>
          <w:sz w:val="24"/>
          <w:szCs w:val="24"/>
        </w:rPr>
        <w:tab/>
      </w:r>
      <w:r>
        <w:rPr>
          <w:rFonts w:ascii="Times New Roman" w:hAnsi="Times New Roman"/>
          <w:sz w:val="24"/>
          <w:szCs w:val="24"/>
        </w:rPr>
        <w:t>The Members and the OSPs shall improve the management of trading seats and the maintenance of trading system.</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12</w:t>
      </w:r>
      <w:r>
        <w:rPr>
          <w:rFonts w:ascii="Times New Roman" w:hAnsi="Times New Roman"/>
          <w:b/>
          <w:sz w:val="24"/>
          <w:szCs w:val="24"/>
        </w:rPr>
        <w:tab/>
      </w:r>
      <w:r>
        <w:rPr>
          <w:rFonts w:ascii="Times New Roman" w:hAnsi="Times New Roman"/>
          <w:sz w:val="24"/>
          <w:szCs w:val="24"/>
        </w:rPr>
        <w:t>The Exchange retains the right to supervise and inspect the use of trading seats.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Member or an OSP shall obtain the prior approval of the Exchange to replace or modify its major trading facilities and software, and to remove the trading seats from the original registered premises.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13</w:t>
      </w:r>
      <w:r>
        <w:rPr>
          <w:rFonts w:ascii="Times New Roman" w:hAnsi="Times New Roman"/>
          <w:b/>
          <w:sz w:val="24"/>
          <w:szCs w:val="24"/>
        </w:rPr>
        <w:tab/>
      </w:r>
      <w:r>
        <w:rPr>
          <w:rFonts w:ascii="Times New Roman" w:hAnsi="Times New Roman"/>
          <w:sz w:val="24"/>
          <w:szCs w:val="24"/>
        </w:rPr>
        <w:t>Permission to use a trading seat shall be withdrawn under any of the following circumstances: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 Member or an OSP applies to withdraw the trading seat and obtains the Exchange’s approval;</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 Member or an OSP subcontracts, subleases or transfers the trading seat without the approval of the Exchange;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 Member or an OSP obtains confidential information through the trading system, or disrupts the trading system;</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a Member or an OSP fails to manage its trading seat(s) in a proper way, and is </w:t>
      </w:r>
      <w:r>
        <w:rPr>
          <w:rFonts w:ascii="Times New Roman" w:hAnsi="Times New Roman"/>
          <w:sz w:val="24"/>
          <w:szCs w:val="24"/>
        </w:rPr>
        <w:lastRenderedPageBreak/>
        <w:t>deemed ineligible to continue operating the trading seat(s);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disqualification of a Member or an OSP;</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 Member or an OSP has serious rule violations;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other circumstances prescribed by the Exchange.</w:t>
      </w:r>
    </w:p>
    <w:p w:rsidR="00164D37" w:rsidRDefault="00164D37" w:rsidP="00164D37">
      <w:pPr>
        <w:pStyle w:val="1"/>
        <w:spacing w:after="240" w:line="360" w:lineRule="auto"/>
        <w:jc w:val="center"/>
        <w:rPr>
          <w:sz w:val="24"/>
          <w:szCs w:val="24"/>
        </w:rPr>
      </w:pPr>
      <w:r>
        <w:rPr>
          <w:sz w:val="24"/>
          <w:szCs w:val="24"/>
        </w:rPr>
        <w:t>Chapter 3</w:t>
      </w:r>
      <w:r>
        <w:rPr>
          <w:sz w:val="24"/>
          <w:szCs w:val="24"/>
        </w:rPr>
        <w:tab/>
        <w:t>Price and Filling of Orders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14</w:t>
      </w:r>
      <w:r>
        <w:rPr>
          <w:rFonts w:ascii="Times New Roman" w:hAnsi="Times New Roman"/>
          <w:b/>
          <w:sz w:val="24"/>
          <w:szCs w:val="24"/>
        </w:rPr>
        <w:tab/>
      </w:r>
      <w:r>
        <w:rPr>
          <w:rFonts w:ascii="Times New Roman" w:hAnsi="Times New Roman"/>
          <w:sz w:val="24"/>
          <w:szCs w:val="24"/>
        </w:rPr>
        <w:t>The Exchange shall timely publish the market data including the opening price, closing price, the highest price, the lowest price, the latest price, price change, the highest bid, the lowest ask, bid volume, ask volume, settlement price, trading volume, open interest and other information regarding futures trading.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15</w:t>
      </w:r>
      <w:r>
        <w:rPr>
          <w:rFonts w:ascii="Times New Roman" w:hAnsi="Times New Roman"/>
          <w:b/>
          <w:sz w:val="24"/>
          <w:szCs w:val="24"/>
        </w:rPr>
        <w:tab/>
      </w:r>
      <w:r>
        <w:rPr>
          <w:rFonts w:ascii="Times New Roman" w:hAnsi="Times New Roman"/>
          <w:sz w:val="24"/>
          <w:szCs w:val="24"/>
        </w:rPr>
        <w:t>The type of trading order includes price limit order, “fill-and-kill” order (FAK order), “fill-or-kill” order (FOK order) and other types as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16</w:t>
      </w:r>
      <w:r>
        <w:rPr>
          <w:rFonts w:ascii="Times New Roman" w:hAnsi="Times New Roman"/>
          <w:b/>
          <w:sz w:val="24"/>
          <w:szCs w:val="24"/>
        </w:rPr>
        <w:tab/>
      </w:r>
      <w:r>
        <w:rPr>
          <w:rFonts w:ascii="Times New Roman" w:hAnsi="Times New Roman"/>
          <w:sz w:val="24"/>
          <w:szCs w:val="24"/>
        </w:rPr>
        <w:t>A trading order on a futures contract shall only be quoted within the range of the price limits for the contract.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maximum of five hundred (500) lots and a minimum of one (1) lot may be executed in each order, unless otherwise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17</w:t>
      </w:r>
      <w:r>
        <w:rPr>
          <w:rFonts w:ascii="Times New Roman" w:hAnsi="Times New Roman"/>
          <w:b/>
          <w:sz w:val="24"/>
          <w:szCs w:val="24"/>
        </w:rPr>
        <w:tab/>
      </w:r>
      <w:r>
        <w:rPr>
          <w:rFonts w:ascii="Times New Roman" w:hAnsi="Times New Roman"/>
          <w:sz w:val="24"/>
          <w:szCs w:val="24"/>
        </w:rPr>
        <w:t>Program trading shall be filed in advance with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the trading orders placed by Members, OSPs, Overseas Intermediaries and Clients engaging in program trading may influence the safety of the Exchange’s system or disrupt the normal order of futures trading, the Exchange may adopt relevant restrictive measures.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18</w:t>
      </w:r>
      <w:r>
        <w:rPr>
          <w:rFonts w:ascii="Times New Roman" w:hAnsi="Times New Roman"/>
          <w:b/>
          <w:sz w:val="24"/>
          <w:szCs w:val="24"/>
        </w:rPr>
        <w:tab/>
      </w:r>
      <w:r>
        <w:rPr>
          <w:rFonts w:ascii="Times New Roman" w:hAnsi="Times New Roman"/>
          <w:sz w:val="24"/>
          <w:szCs w:val="24"/>
        </w:rPr>
        <w:t>Trading hours of the listed contracts on each trading day shall be managed by sessions, and announced by the Exchange separately when such contract is listed.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lastRenderedPageBreak/>
        <w:t>Article 19</w:t>
      </w:r>
      <w:r>
        <w:rPr>
          <w:rFonts w:ascii="Times New Roman" w:hAnsi="Times New Roman"/>
          <w:b/>
          <w:sz w:val="24"/>
          <w:szCs w:val="24"/>
        </w:rPr>
        <w:tab/>
      </w:r>
      <w:r>
        <w:rPr>
          <w:rFonts w:ascii="Times New Roman" w:hAnsi="Times New Roman"/>
          <w:sz w:val="24"/>
          <w:szCs w:val="24"/>
        </w:rPr>
        <w:t>The beginning and the end of the central auction session is automatically dictated by the Exchange’s trading system, and displayed on the computer terminals.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open central auction session is a five (5)-minute session prior to the market opening of continuous trading hours. The central auction session for the day trading is a five (5)-minute session prior to the opening of day trading hours. For a trading day that does not cover continuous trading hours, the open central auction session is a five (5)-minute session prior to the market opening of day trading hours.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During a central auction,bids and asks are entered into the central order book during the first four (4) minutes, and are matched during the last minute.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open price is the execution price established in an open central auction. If no trade is executed in the auction, the price of the first trade executed in the following auction trading shall be the open price. The price of the first trade is calculated according to Article 20 or 21 of these </w:t>
      </w:r>
      <w:r>
        <w:rPr>
          <w:rFonts w:ascii="Times New Roman" w:hAnsi="Times New Roman"/>
          <w:i/>
          <w:sz w:val="24"/>
          <w:szCs w:val="24"/>
        </w:rPr>
        <w:t>Trading Rules</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20</w:t>
      </w:r>
      <w:r>
        <w:rPr>
          <w:rFonts w:ascii="Times New Roman" w:hAnsi="Times New Roman"/>
          <w:b/>
          <w:sz w:val="24"/>
          <w:szCs w:val="24"/>
        </w:rPr>
        <w:tab/>
      </w:r>
      <w:r>
        <w:rPr>
          <w:rFonts w:ascii="Times New Roman" w:hAnsi="Times New Roman"/>
          <w:sz w:val="24"/>
          <w:szCs w:val="24"/>
        </w:rPr>
        <w:t>The central auction session applies “trade maximization” to the orders to be filled. The price established during the central auction session shall match the most bids and asks. Bids higher than or asks lower than the price generated from the central auction shall all be executed. Bids or asks at the price generated from the central auction shall be executed up to the number of bids or asks, whichever is less.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In continuous trading session, the Exchange’s trading system will automatically match the bids and asks in order of price and time priority.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Under the circumstance where the price limit is reached, the matching is in order of closing position priority and time priority. Closing position priority is not applicable to the close-out of intraday positions.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21</w:t>
      </w:r>
      <w:r>
        <w:rPr>
          <w:rFonts w:ascii="Times New Roman" w:hAnsi="Times New Roman"/>
          <w:b/>
          <w:sz w:val="24"/>
          <w:szCs w:val="24"/>
        </w:rPr>
        <w:tab/>
      </w:r>
      <w:r>
        <w:rPr>
          <w:rFonts w:ascii="Times New Roman" w:hAnsi="Times New Roman"/>
          <w:sz w:val="24"/>
          <w:szCs w:val="24"/>
        </w:rPr>
        <w:t>The new trading price is the price standing in the middle among the bid price (bp), the ask price (sp) and the price of the previous trade executed (cp), as follows: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lastRenderedPageBreak/>
        <w:t>bp≥sp≥cp, the current trading price = sp;</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bp≥cp≥sp, the current trading price = cp; or</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cp≥bp≥sp, the current trading price = bp</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bid and ask matched through the trading system constitute a valid transaction, and the data thereof shall be sent through the Exchange’s trading system to the Members or/and the OSPs. The Members and the Overseas Special Brokerage Participants (hereinafter referred to as the “OSBP”) shall, upon the receipt of the transaction data, instantly notify the Clients of the completed transaction.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22</w:t>
      </w:r>
      <w:r>
        <w:rPr>
          <w:rFonts w:ascii="Times New Roman" w:hAnsi="Times New Roman"/>
          <w:b/>
          <w:sz w:val="24"/>
          <w:szCs w:val="24"/>
        </w:rPr>
        <w:tab/>
      </w:r>
      <w:r>
        <w:rPr>
          <w:rFonts w:ascii="Times New Roman" w:hAnsi="Times New Roman"/>
          <w:sz w:val="24"/>
          <w:szCs w:val="24"/>
        </w:rPr>
        <w:t>The unfilled orders during the central auction session shall remain active for automatic matching in the following trading session. The unfilled orders during the continuous trading hours shall remain active for automatic matching in the central auction session of day trading hours. The orders will stay valid for the whole trading day until they are filled or cancelled.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23</w:t>
      </w:r>
      <w:r>
        <w:rPr>
          <w:rFonts w:ascii="Times New Roman" w:hAnsi="Times New Roman"/>
          <w:b/>
          <w:sz w:val="24"/>
          <w:szCs w:val="24"/>
        </w:rPr>
        <w:tab/>
      </w:r>
      <w:r>
        <w:rPr>
          <w:rFonts w:ascii="Times New Roman" w:hAnsi="Times New Roman"/>
          <w:sz w:val="24"/>
          <w:szCs w:val="24"/>
        </w:rPr>
        <w:t>At the close of each trading day, Members and OSPs shall check the trading records through the member service system of the Exchange, and shall promptly verify such records.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Should any dispute over the accuracy of the records arises, a Member or an OSP shall submit a notice in writing to the Exchange no less than thirty (30) minutes prior to the market opening of the next trading day. In case of an emergency, a notice in writing shall be submitted to the Exchange within two (2) hours after the market opening of the next trading day. The Exchange will promptly deal with the dispute and provide feedbacks thereof.</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a Member or an OSP does not raise any objections within the specified time, it shall be regarded that the Member or the OSP has acknowledged the trading records.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24</w:t>
      </w:r>
      <w:r>
        <w:rPr>
          <w:rFonts w:ascii="Times New Roman" w:hAnsi="Times New Roman"/>
          <w:b/>
          <w:sz w:val="24"/>
          <w:szCs w:val="24"/>
        </w:rPr>
        <w:tab/>
      </w:r>
      <w:r>
        <w:rPr>
          <w:rFonts w:ascii="Times New Roman" w:hAnsi="Times New Roman"/>
          <w:sz w:val="24"/>
          <w:szCs w:val="24"/>
        </w:rPr>
        <w:t>The Exchange for Physical (the “EFP”) is applicable to the previous open positions of all listed futures contracts of the Exchange, but not applicable to the new positions opened on the application day.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lastRenderedPageBreak/>
        <w:t>Article 25</w:t>
      </w:r>
      <w:r>
        <w:rPr>
          <w:rFonts w:ascii="Times New Roman" w:hAnsi="Times New Roman"/>
          <w:b/>
          <w:sz w:val="24"/>
          <w:szCs w:val="24"/>
        </w:rPr>
        <w:tab/>
      </w:r>
      <w:r>
        <w:rPr>
          <w:rFonts w:ascii="Times New Roman" w:hAnsi="Times New Roman"/>
          <w:sz w:val="24"/>
          <w:szCs w:val="24"/>
        </w:rPr>
        <w:t>The Exchange shall, before 15:00 of the application day, close the positions of the corresponding futures contract of the delivery month held by the buyer and the seller tendering the EFP, at the settlement price of the trading day immediately before the application day for the corresponding contract of the delivery month.</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26</w:t>
      </w:r>
      <w:r>
        <w:rPr>
          <w:rFonts w:ascii="Times New Roman" w:hAnsi="Times New Roman"/>
          <w:b/>
          <w:sz w:val="24"/>
          <w:szCs w:val="24"/>
        </w:rPr>
        <w:tab/>
      </w:r>
      <w:r>
        <w:rPr>
          <w:rFonts w:ascii="Times New Roman" w:hAnsi="Times New Roman"/>
          <w:sz w:val="24"/>
          <w:szCs w:val="24"/>
        </w:rPr>
        <w:t>The listing price for a new contract is determined by the Exchange and shall be released in advance of the first day of trading. The price limit for such contract on its first trading day shall be determined on the basis of the listing price.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27</w:t>
      </w:r>
      <w:r>
        <w:rPr>
          <w:rFonts w:ascii="Times New Roman" w:hAnsi="Times New Roman"/>
          <w:b/>
          <w:sz w:val="24"/>
          <w:szCs w:val="24"/>
        </w:rPr>
        <w:tab/>
      </w:r>
      <w:r>
        <w:rPr>
          <w:rFonts w:ascii="Times New Roman" w:hAnsi="Times New Roman"/>
          <w:sz w:val="24"/>
          <w:szCs w:val="24"/>
        </w:rPr>
        <w:t>The price limit for a new futures contract on its first trading day shall be twice the price limit stipulated by the contract specifications.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trades are executed on the first trading day, the price limit shall revert to its regular price limit as set forth in the futures contracts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there is no trade executed on the first trading day, the price limit of the next trading day shall remain twice the price limit stipulated by the contract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 When applying such provisions, the listing price of a new futures contract on the first trading day shall be deemed as the settlement price of the previous trading day of such contract.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28</w:t>
      </w:r>
      <w:r>
        <w:rPr>
          <w:rFonts w:ascii="Times New Roman" w:hAnsi="Times New Roman"/>
          <w:b/>
          <w:sz w:val="24"/>
          <w:szCs w:val="24"/>
        </w:rPr>
        <w:tab/>
      </w:r>
      <w:r>
        <w:rPr>
          <w:rFonts w:ascii="Times New Roman" w:hAnsi="Times New Roman"/>
          <w:sz w:val="24"/>
          <w:szCs w:val="24"/>
        </w:rPr>
        <w:t>If more than 10% of trading seats with valid connections cannot book deals due to the malfunction of trading systems and communication systems, etc., the Exchange shall suspend the trading until the malfunction is rectified.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number of trading seats that cannot book deals shall be calculated by using the maximum number of trading seats with valid connections within the half hour after the market opening of the previous trading day minus the number of current connected trading seats. The number of trading seats with valid connections refers to the maximum number of trading seats with valid connections within the half hour </w:t>
      </w:r>
      <w:r>
        <w:rPr>
          <w:rFonts w:ascii="Times New Roman" w:hAnsi="Times New Roman"/>
          <w:sz w:val="24"/>
          <w:szCs w:val="24"/>
        </w:rPr>
        <w:lastRenderedPageBreak/>
        <w:t>after the market opening of the previous trading day.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29</w:t>
      </w:r>
      <w:r>
        <w:rPr>
          <w:rFonts w:ascii="Times New Roman" w:hAnsi="Times New Roman"/>
          <w:b/>
          <w:sz w:val="24"/>
          <w:szCs w:val="24"/>
        </w:rPr>
        <w:tab/>
      </w:r>
      <w:r>
        <w:rPr>
          <w:rFonts w:ascii="Times New Roman" w:hAnsi="Times New Roman"/>
          <w:sz w:val="24"/>
          <w:szCs w:val="24"/>
        </w:rPr>
        <w:t>The Exchange may adjust the time of opening and closing for the continuous trading session, or suspend it if, before the opening of the continuous trading session, abnormal circumstances are reported through the member service system, more than 30% of Members and OSPs registered to participate in continuous trading fail to complete clearing or the initialization of the trading system, or in other situations as deemed necessary by the Exchange.</w:t>
      </w:r>
    </w:p>
    <w:p w:rsidR="00164D37" w:rsidRDefault="00164D37" w:rsidP="00164D37">
      <w:pPr>
        <w:pStyle w:val="1"/>
        <w:spacing w:after="240" w:line="360" w:lineRule="auto"/>
        <w:jc w:val="center"/>
        <w:rPr>
          <w:sz w:val="24"/>
          <w:szCs w:val="24"/>
        </w:rPr>
      </w:pPr>
      <w:r>
        <w:rPr>
          <w:sz w:val="24"/>
          <w:szCs w:val="24"/>
        </w:rPr>
        <w:t>Chapter 4</w:t>
      </w:r>
      <w:r>
        <w:rPr>
          <w:sz w:val="24"/>
          <w:szCs w:val="24"/>
        </w:rPr>
        <w:tab/>
        <w:t>Trading Code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30</w:t>
      </w:r>
      <w:r>
        <w:rPr>
          <w:rFonts w:ascii="Times New Roman" w:hAnsi="Times New Roman"/>
          <w:b/>
          <w:sz w:val="24"/>
          <w:szCs w:val="24"/>
        </w:rPr>
        <w:tab/>
      </w:r>
      <w:r>
        <w:rPr>
          <w:rFonts w:ascii="Times New Roman" w:hAnsi="Times New Roman"/>
          <w:sz w:val="24"/>
          <w:szCs w:val="24"/>
        </w:rPr>
        <w:t>The Exchange shall implement the trading code.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Trading codes are classified into trading codes for Non-Futures Firm Members (hereinafter referred to as the “Non-FF Members”), trading code for Overseas Special Non-Brokerage Participants (hereinafter referred to as the “OSNBP”) and trading code for Clients, unless otherwise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Each Client may open trading accounts with different Futures Firm Members (hereinafter referred to as the “FF Members”), OSBPs, Overseas Intermediaries or other institutions (hereinafter collectively referred to as the “account opening institutions”). Account opening institutions are not allowed to aggregate or net multi-Clients’ positions.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31</w:t>
      </w:r>
      <w:r>
        <w:rPr>
          <w:rFonts w:ascii="Times New Roman" w:hAnsi="Times New Roman"/>
          <w:b/>
          <w:sz w:val="24"/>
          <w:szCs w:val="24"/>
        </w:rPr>
        <w:tab/>
      </w:r>
      <w:r>
        <w:rPr>
          <w:rFonts w:ascii="Times New Roman" w:hAnsi="Times New Roman"/>
          <w:sz w:val="24"/>
          <w:szCs w:val="24"/>
        </w:rPr>
        <w:t>Account opening institutions shall conduct trading code application and other account opening formalities for Clients in accordance with the relevant rules of the China Securities Regulatory Commission (hereinafter referred to as the “CSRC”), the China Futures Market Monitoring Center (hereinafter referred to as the “CFMMC”) and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 CFMMC </w:t>
      </w:r>
      <w:r>
        <w:rPr>
          <w:rFonts w:ascii="Times New Roman" w:hAnsi="Times New Roman"/>
          <w:sz w:val="24"/>
          <w:szCs w:val="24"/>
        </w:rPr>
        <w:lastRenderedPageBreak/>
        <w:t>pursuant to the laws, regulations, rules, and other relevant provisions.</w:t>
      </w:r>
    </w:p>
    <w:p w:rsidR="00164D37" w:rsidRDefault="00164D37" w:rsidP="008D2CD4">
      <w:pPr>
        <w:tabs>
          <w:tab w:val="left" w:pos="1284"/>
        </w:tabs>
        <w:snapToGrid w:val="0"/>
        <w:spacing w:afterLines="100" w:line="360" w:lineRule="auto"/>
        <w:rPr>
          <w:rFonts w:ascii="Times New Roman" w:hAnsi="Times New Roman"/>
          <w:sz w:val="24"/>
          <w:szCs w:val="24"/>
        </w:rPr>
      </w:pPr>
      <w:r>
        <w:rPr>
          <w:rFonts w:ascii="Times New Roman" w:hAnsi="Times New Roman"/>
          <w:b/>
          <w:bCs/>
          <w:sz w:val="24"/>
          <w:szCs w:val="24"/>
        </w:rPr>
        <w:t>Article 32</w:t>
      </w:r>
      <w:r>
        <w:rPr>
          <w:rFonts w:ascii="Times New Roman" w:hAnsi="Times New Roman"/>
          <w:b/>
          <w:sz w:val="24"/>
          <w:szCs w:val="24"/>
        </w:rPr>
        <w:tab/>
      </w:r>
      <w:r>
        <w:rPr>
          <w:rFonts w:ascii="Times New Roman" w:hAnsi="Times New Roman"/>
          <w:sz w:val="24"/>
          <w:szCs w:val="24"/>
        </w:rPr>
        <w:t>An account opening institution shall sign a futures brokerage contract with each of its Clients. Clients may place trading orders with clear instructions and complete information through written authorization, telephone, internet or any other means prescribed by the CSRC.</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33</w:t>
      </w:r>
      <w:r>
        <w:rPr>
          <w:rFonts w:ascii="Times New Roman" w:hAnsi="Times New Roman"/>
          <w:b/>
          <w:sz w:val="24"/>
          <w:szCs w:val="24"/>
        </w:rPr>
        <w:tab/>
      </w:r>
      <w:r>
        <w:rPr>
          <w:rFonts w:ascii="Times New Roman" w:hAnsi="Times New Roman"/>
          <w:sz w:val="24"/>
          <w:szCs w:val="24"/>
        </w:rPr>
        <w:t>After receiving the account opening application materials of a Client forwarded by the CFMMC, the Exchange shall allocate, assign and manage the Client’s trading code, and report the processing results to the account opening institution via the CFMMC.</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After receiving the account opening application materials of a Non-FF Member and/or an OSNBP, the Exchange shall allocate, assign and manage the trading code of the Non-FF Member and/or the OSNBP, and report to them the processing results, respectively.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34</w:t>
      </w:r>
      <w:r>
        <w:rPr>
          <w:rFonts w:ascii="Times New Roman" w:hAnsi="Times New Roman"/>
          <w:b/>
          <w:sz w:val="24"/>
          <w:szCs w:val="24"/>
        </w:rPr>
        <w:tab/>
      </w:r>
      <w:r>
        <w:rPr>
          <w:rFonts w:ascii="Times New Roman" w:hAnsi="Times New Roman"/>
          <w:sz w:val="24"/>
          <w:szCs w:val="24"/>
        </w:rPr>
        <w:t>The trading account shall not be opened during continuous trading hours.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35</w:t>
      </w:r>
      <w:r>
        <w:rPr>
          <w:rFonts w:ascii="Times New Roman" w:hAnsi="Times New Roman"/>
          <w:b/>
          <w:sz w:val="24"/>
          <w:szCs w:val="24"/>
        </w:rPr>
        <w:tab/>
      </w:r>
      <w:r>
        <w:rPr>
          <w:rFonts w:ascii="Times New Roman" w:hAnsi="Times New Roman"/>
          <w:sz w:val="24"/>
          <w:szCs w:val="24"/>
        </w:rPr>
        <w:t>The Exchange may revoke the trading code of a Non-FF Member, an OSNBP or a Client if any of the following condition occurs: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materials presented are false;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an FF Member or an OSBP applies for cancellation of trading codes of its clients and there are no open positions under such trading codes; </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 Non-FF Member or an OSNBP applies for cancellation of its trading code, and there are no open positions under such trading code;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be imposed a ban for participating in a securities market or futures market by the CSRC;</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be declared as “persona non grata to the market” by the Exchange;</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other circumstances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36</w:t>
      </w:r>
      <w:r>
        <w:rPr>
          <w:rFonts w:ascii="Times New Roman" w:hAnsi="Times New Roman"/>
          <w:b/>
          <w:sz w:val="24"/>
          <w:szCs w:val="24"/>
        </w:rPr>
        <w:tab/>
      </w:r>
      <w:r>
        <w:rPr>
          <w:rFonts w:ascii="Times New Roman" w:hAnsi="Times New Roman"/>
          <w:sz w:val="24"/>
          <w:szCs w:val="24"/>
        </w:rPr>
        <w:t xml:space="preserve">An account opening institution may be required by the Exchange to liquidate the positions within a specified time period if its Clients, or it assists its Clients to, submit false materials as part of the account opening and trading code application. A Non-FF Member or an OSNBP may be required by the Exchange to liquidate the positions within a specified time period, if it submits false materials for account opening and trading code application. The trading code shall be cancelled following the liquidation of the positions, and additional sanctions shall be imposed in accordance with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164D37">
      <w:pPr>
        <w:pStyle w:val="1"/>
        <w:spacing w:after="240" w:line="360" w:lineRule="auto"/>
        <w:jc w:val="center"/>
        <w:rPr>
          <w:sz w:val="24"/>
          <w:szCs w:val="24"/>
        </w:rPr>
      </w:pPr>
      <w:r>
        <w:rPr>
          <w:sz w:val="24"/>
          <w:szCs w:val="24"/>
        </w:rPr>
        <w:t>Chapter 5</w:t>
      </w:r>
      <w:r>
        <w:rPr>
          <w:sz w:val="24"/>
          <w:szCs w:val="24"/>
        </w:rPr>
        <w:tab/>
        <w:t>Hedge Trading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37</w:t>
      </w:r>
      <w:r>
        <w:rPr>
          <w:rFonts w:ascii="Times New Roman" w:hAnsi="Times New Roman"/>
          <w:b/>
          <w:sz w:val="24"/>
          <w:szCs w:val="24"/>
        </w:rPr>
        <w:tab/>
      </w:r>
      <w:r>
        <w:rPr>
          <w:rFonts w:ascii="Times New Roman" w:hAnsi="Times New Roman"/>
          <w:sz w:val="24"/>
          <w:szCs w:val="24"/>
        </w:rPr>
        <w:t>Hedge trading quota is classified into hedge trading position quota for regular months (hereinafter referred to as the “hedging quota for regular months”) and hedge trading position quota for nearby delivery months (hereinafter referred to as the “hedging quota for nearby delivery months”). Hedging quota for regular months is classified into long hedging quota for regular months and short hedging quota for regular months. Hedging quota for nearby delivery months is classified into long hedging quota for nearby delivery months and short hedging quota for nearby delivery months.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For calculation purposes, long hedging quota includes the hedging quota for long positions in futures contracts, long positions in call options contracts, and short positions in put options contracts; short hedging quota includes the hedging quota for short positions in futures contracts, short positions in call options contracts, and long positions in put options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regular months and nearby delivery months of a contract, as well as its quota application time are prescribed in the chapter of these </w:t>
      </w:r>
      <w:r>
        <w:rPr>
          <w:rFonts w:ascii="Times New Roman" w:hAnsi="Times New Roman"/>
          <w:i/>
          <w:sz w:val="24"/>
          <w:szCs w:val="24"/>
        </w:rPr>
        <w:t>Trading Rules</w:t>
      </w:r>
      <w:r>
        <w:rPr>
          <w:rFonts w:ascii="Times New Roman" w:hAnsi="Times New Roman"/>
          <w:sz w:val="24"/>
          <w:szCs w:val="24"/>
        </w:rPr>
        <w:t xml:space="preserve"> regarding contracts of the listed product.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38</w:t>
      </w:r>
      <w:r>
        <w:rPr>
          <w:rFonts w:ascii="Times New Roman" w:hAnsi="Times New Roman"/>
          <w:b/>
          <w:sz w:val="24"/>
          <w:szCs w:val="24"/>
        </w:rPr>
        <w:tab/>
      </w:r>
      <w:r>
        <w:rPr>
          <w:rFonts w:ascii="Times New Roman" w:hAnsi="Times New Roman"/>
          <w:sz w:val="24"/>
          <w:szCs w:val="24"/>
        </w:rPr>
        <w:t xml:space="preserve">Hedging quota for regular months and hedging quota for nearby delivery months of each contract of the listed products shall be approved by the </w:t>
      </w:r>
      <w:r>
        <w:rPr>
          <w:rFonts w:ascii="Times New Roman" w:hAnsi="Times New Roman"/>
          <w:sz w:val="24"/>
          <w:szCs w:val="24"/>
        </w:rPr>
        <w:lastRenderedPageBreak/>
        <w:t>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Clients shall apply to their account opening institutions for the hedging quota, and the account opening institutions shall apply to the Exchange after verification in accordance with relevant provisions. Non-FF Members and OSNBPs shall directly apply to the Exchange for the hedging quota.</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39</w:t>
      </w:r>
      <w:r>
        <w:rPr>
          <w:rFonts w:ascii="Times New Roman" w:hAnsi="Times New Roman"/>
          <w:b/>
          <w:sz w:val="24"/>
          <w:szCs w:val="24"/>
        </w:rPr>
        <w:tab/>
      </w:r>
      <w:r>
        <w:rPr>
          <w:rFonts w:ascii="Times New Roman" w:hAnsi="Times New Roman"/>
          <w:sz w:val="24"/>
          <w:szCs w:val="24"/>
        </w:rPr>
        <w:t>A Non-FF Member, an OSNBP or a Client shall provide the following materials to apply for the hedging quota for regular months in accordance with the contract:</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1.</w:t>
      </w:r>
      <w:r>
        <w:rPr>
          <w:rFonts w:hint="eastAsia"/>
          <w:sz w:val="24"/>
          <w:szCs w:val="24"/>
        </w:rPr>
        <w:tab/>
      </w:r>
      <w:r>
        <w:rPr>
          <w:rFonts w:ascii="Times New Roman" w:hAnsi="Times New Roman"/>
          <w:sz w:val="24"/>
          <w:szCs w:val="24"/>
        </w:rPr>
        <w:t>an Application (Approval) Form of Hedging Quota for Regular Months, including applicant’s basic information, contracts applied, hedging quota applied for regular months and other information;</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2.</w:t>
      </w:r>
      <w:r>
        <w:rPr>
          <w:rFonts w:hint="eastAsia"/>
          <w:sz w:val="24"/>
          <w:szCs w:val="24"/>
        </w:rPr>
        <w:tab/>
      </w:r>
      <w:r>
        <w:rPr>
          <w:rFonts w:ascii="Times New Roman" w:hAnsi="Times New Roman"/>
          <w:sz w:val="24"/>
          <w:szCs w:val="24"/>
        </w:rPr>
        <w:t>a copy of the business license, a certificate of incorporation, or other documents which may prove the applicant’s business scope;</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business performance of physical commodities in the previous year or the latest audited annual financial report;</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 business plan of physical commodities for the current year or the following year, and any purchase and sale contracts or other valid certificates related to the application for hedging;</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hedging strategy, including analyses of the source of risks and hedging objectives;</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hedging management rules, if the applicant is a Non-FF Member or an OSNBP;</w:t>
      </w:r>
    </w:p>
    <w:p w:rsidR="00164D37" w:rsidRDefault="00164D37" w:rsidP="008D2CD4">
      <w:pPr>
        <w:snapToGrid w:val="0"/>
        <w:spacing w:afterLines="100" w:line="360" w:lineRule="auto"/>
        <w:ind w:left="1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other materials required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Non-FF Member, an OSNBP or a Client may apply for hedging quota for regular months for multiple contracts once at a time.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40</w:t>
      </w:r>
      <w:r>
        <w:rPr>
          <w:rFonts w:ascii="Times New Roman" w:hAnsi="Times New Roman"/>
          <w:b/>
          <w:sz w:val="24"/>
          <w:szCs w:val="24"/>
        </w:rPr>
        <w:tab/>
      </w:r>
      <w:r>
        <w:rPr>
          <w:rFonts w:ascii="Times New Roman" w:hAnsi="Times New Roman"/>
          <w:sz w:val="24"/>
          <w:szCs w:val="24"/>
        </w:rPr>
        <w:t xml:space="preserve">The Exchange shall approve the hedging quota for regular months of an </w:t>
      </w:r>
      <w:r>
        <w:rPr>
          <w:rFonts w:ascii="Times New Roman" w:hAnsi="Times New Roman"/>
          <w:sz w:val="24"/>
          <w:szCs w:val="24"/>
        </w:rPr>
        <w:lastRenderedPageBreak/>
        <w:t>applicant based on whether or not, the subject is competent, the real hedging needs exist, and the hedging products, the positions held, required trading volumes and the hedging period match the production and operation scale, historic operational conditions, financial conditions and other related factors. Hedging quotas for regular months shall not exceed the quota applied by the applicant.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41</w:t>
      </w:r>
      <w:r>
        <w:rPr>
          <w:rFonts w:ascii="Times New Roman" w:hAnsi="Times New Roman"/>
          <w:b/>
          <w:sz w:val="24"/>
          <w:szCs w:val="24"/>
        </w:rPr>
        <w:tab/>
      </w:r>
      <w:r>
        <w:rPr>
          <w:rFonts w:ascii="Times New Roman" w:hAnsi="Times New Roman"/>
          <w:sz w:val="24"/>
          <w:szCs w:val="24"/>
        </w:rPr>
        <w:t>A Non-FF Member, an OSNBP or a Client which needs to adjust the hedging quota for regular months shall timely submit an application for adjustment and provide supporting materials.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42</w:t>
      </w:r>
      <w:r>
        <w:rPr>
          <w:rFonts w:ascii="Times New Roman" w:hAnsi="Times New Roman"/>
          <w:b/>
          <w:sz w:val="24"/>
          <w:szCs w:val="24"/>
        </w:rPr>
        <w:tab/>
      </w:r>
      <w:r>
        <w:rPr>
          <w:rFonts w:ascii="Times New Roman" w:hAnsi="Times New Roman"/>
          <w:sz w:val="24"/>
          <w:szCs w:val="24"/>
        </w:rPr>
        <w:t>A Non-FF Member, an OSNBP or a Client, applying for hedging quota for the nearby delivery months, may apply for the quota of certain contract(s) and submit the following materials in accordance with the contract:</w:t>
      </w:r>
    </w:p>
    <w:p w:rsidR="00164D37" w:rsidRDefault="00164D37" w:rsidP="008D2CD4">
      <w:pPr>
        <w:snapToGrid w:val="0"/>
        <w:spacing w:afterLines="100" w:line="360" w:lineRule="auto"/>
        <w:rPr>
          <w:rFonts w:ascii="Times New Roman" w:hAnsi="Times New Roman"/>
          <w:sz w:val="24"/>
          <w:szCs w:val="24"/>
        </w:rPr>
      </w:pPr>
      <w:r>
        <w:rPr>
          <w:rFonts w:ascii="Times New Roman" w:hAnsi="Times New Roman"/>
          <w:sz w:val="24"/>
          <w:szCs w:val="24"/>
        </w:rPr>
        <w:t>1.</w:t>
      </w:r>
      <w:r>
        <w:rPr>
          <w:rFonts w:hint="eastAsia"/>
          <w:sz w:val="24"/>
          <w:szCs w:val="24"/>
        </w:rPr>
        <w:tab/>
      </w:r>
      <w:r>
        <w:rPr>
          <w:rFonts w:ascii="Times New Roman" w:hAnsi="Times New Roman"/>
          <w:sz w:val="24"/>
          <w:szCs w:val="24"/>
        </w:rPr>
        <w:t>an Application (Approval) Form of Hedging Quota for Nearby Delivery Months, including the applicant’s basic information, the contracts applied, the hedging quota applied for nearby delivery months, etc.;</w:t>
      </w:r>
    </w:p>
    <w:p w:rsidR="00164D37" w:rsidRDefault="00164D37" w:rsidP="008D2CD4">
      <w:pPr>
        <w:snapToGrid w:val="0"/>
        <w:spacing w:afterLines="100"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 copy of business license, a certificate of incorporation, or other documents which may prove the applicant’s business scope;</w:t>
      </w:r>
    </w:p>
    <w:p w:rsidR="00164D37" w:rsidRDefault="00164D37" w:rsidP="008D2CD4">
      <w:pPr>
        <w:snapToGrid w:val="0"/>
        <w:spacing w:afterLines="100" w:line="36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relevant materials which can prove the authenticity of the hedging needs, including the production plan for the current year or the previous year, warrants for physical commodities, processing orders, purchase and sale contracts, purchase and sale invoices, or other valid certificates of the ownership of physical commodities corresponding to the application quota;</w:t>
      </w:r>
    </w:p>
    <w:p w:rsidR="00164D37" w:rsidRDefault="00164D37" w:rsidP="008D2CD4">
      <w:pPr>
        <w:snapToGrid w:val="0"/>
        <w:spacing w:afterLines="100" w:line="36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hedging management rules, if the applicant is a Non-FF Member, or an OSNBP; and</w:t>
      </w:r>
    </w:p>
    <w:p w:rsidR="00164D37" w:rsidRDefault="00164D37" w:rsidP="008D2CD4">
      <w:pPr>
        <w:snapToGrid w:val="0"/>
        <w:spacing w:afterLines="100" w:line="36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other materials required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the above materials have been submitted to the Exchange and no change occurs thereafter, there is no need to re-submit the materials.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lastRenderedPageBreak/>
        <w:t>Article 43</w:t>
      </w:r>
      <w:r>
        <w:rPr>
          <w:rFonts w:ascii="Times New Roman" w:hAnsi="Times New Roman"/>
          <w:b/>
          <w:sz w:val="24"/>
          <w:szCs w:val="24"/>
        </w:rPr>
        <w:tab/>
      </w:r>
      <w:r>
        <w:rPr>
          <w:rFonts w:ascii="Times New Roman" w:hAnsi="Times New Roman"/>
          <w:sz w:val="24"/>
          <w:szCs w:val="24"/>
        </w:rPr>
        <w:t>The Exchange shall approve the hedging quota for nearby delivery months based on factors such as the positions held, the trading volumes, the operational conditions of physical commodities, the positions of the corresponding futures contract, stocks of the deliverable commodities of the Exchange, and whether or not the prices of futures and its underlying physical commodities have deviated.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aggregate hedging quota for nearby delivery months for each contract month throughout the year shall not exceed the amount of production capacity or the production plan for the current year, or the business volume of the previous year.</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44</w:t>
      </w:r>
      <w:r>
        <w:rPr>
          <w:rFonts w:ascii="Times New Roman" w:hAnsi="Times New Roman"/>
          <w:b/>
          <w:sz w:val="24"/>
          <w:szCs w:val="24"/>
        </w:rPr>
        <w:tab/>
      </w:r>
      <w:r>
        <w:rPr>
          <w:rFonts w:ascii="Times New Roman" w:hAnsi="Times New Roman"/>
          <w:sz w:val="24"/>
          <w:szCs w:val="24"/>
        </w:rPr>
        <w:t>Upon receiving all the application materials for hedging quota, the Exchange shall, within five (5) trading days, review the application and make a decision based on the following scenarios: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hedging requirements are satisfied, and notify the applicant of the result;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hedging requirements are not satisfied, and notify the applicant of the result;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Exchange shall request additional supporting documents from the applicant if the application materials are insufficient.</w:t>
      </w:r>
    </w:p>
    <w:p w:rsidR="00164D37" w:rsidRDefault="00164D37" w:rsidP="008D2CD4">
      <w:pPr>
        <w:tabs>
          <w:tab w:val="left" w:pos="1276"/>
        </w:tabs>
        <w:snapToGrid w:val="0"/>
        <w:spacing w:afterLines="100" w:line="360" w:lineRule="auto"/>
        <w:rPr>
          <w:rFonts w:ascii="Times New Roman" w:hAnsi="Times New Roman"/>
          <w:bCs/>
          <w:sz w:val="24"/>
          <w:szCs w:val="24"/>
        </w:rPr>
      </w:pPr>
      <w:r>
        <w:rPr>
          <w:rFonts w:ascii="Times New Roman" w:hAnsi="Times New Roman"/>
          <w:b/>
          <w:bCs/>
          <w:sz w:val="24"/>
          <w:szCs w:val="24"/>
        </w:rPr>
        <w:t>Article 45</w:t>
      </w:r>
      <w:r>
        <w:rPr>
          <w:rFonts w:ascii="Times New Roman" w:hAnsi="Times New Roman"/>
          <w:bCs/>
          <w:sz w:val="24"/>
          <w:szCs w:val="24"/>
        </w:rPr>
        <w:tab/>
        <w:t xml:space="preserve">After obtaining the hedging quota, a Non-FF Member, an OSNBP or a Client may establish hedging positions either directly by placing trading orders or by </w:t>
      </w:r>
      <w:r>
        <w:rPr>
          <w:rFonts w:ascii="Times New Roman" w:hAnsi="Times New Roman" w:hint="eastAsia"/>
          <w:bCs/>
          <w:sz w:val="24"/>
          <w:szCs w:val="24"/>
        </w:rPr>
        <w:t>confirming</w:t>
      </w:r>
      <w:r>
        <w:rPr>
          <w:rFonts w:ascii="Times New Roman" w:hAnsi="Times New Roman"/>
          <w:bCs/>
          <w:sz w:val="24"/>
          <w:szCs w:val="24"/>
        </w:rPr>
        <w:t xml:space="preserve"> positions in accordance with applicable rules, in each case before the market closes on the third trading day prior to the last trading day of the contract involved in the hedge. If the positions are not opened by the prescribed deadline, it is deemed a waiver of the hedging quota.</w:t>
      </w:r>
    </w:p>
    <w:p w:rsidR="00164D37" w:rsidRDefault="00164D37" w:rsidP="008D2CD4">
      <w:pPr>
        <w:tabs>
          <w:tab w:val="left" w:pos="1276"/>
        </w:tabs>
        <w:snapToGrid w:val="0"/>
        <w:spacing w:afterLines="100" w:line="360" w:lineRule="auto"/>
        <w:rPr>
          <w:rFonts w:ascii="Times New Roman" w:hAnsi="Times New Roman"/>
          <w:bCs/>
          <w:sz w:val="24"/>
          <w:szCs w:val="24"/>
        </w:rPr>
      </w:pPr>
      <w:r>
        <w:rPr>
          <w:rFonts w:ascii="Times New Roman" w:hAnsi="Times New Roman"/>
          <w:bCs/>
          <w:sz w:val="24"/>
          <w:szCs w:val="24"/>
        </w:rPr>
        <w:t>Option hedging positions are converted to the corresponding futures hedging positions upon exercise or performance of the option.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46</w:t>
      </w:r>
      <w:r>
        <w:rPr>
          <w:rFonts w:ascii="Times New Roman" w:hAnsi="Times New Roman"/>
          <w:b/>
          <w:sz w:val="24"/>
          <w:szCs w:val="24"/>
        </w:rPr>
        <w:tab/>
      </w:r>
      <w:r>
        <w:rPr>
          <w:rFonts w:ascii="Times New Roman" w:hAnsi="Times New Roman"/>
          <w:sz w:val="24"/>
          <w:szCs w:val="24"/>
        </w:rPr>
        <w:t xml:space="preserve">For those who do not apply for the hedging quota for nearby delivery months as the nearby delivery months approach, the Exchange shall take the lower </w:t>
      </w:r>
      <w:r>
        <w:rPr>
          <w:rFonts w:ascii="Times New Roman" w:hAnsi="Times New Roman"/>
          <w:sz w:val="24"/>
          <w:szCs w:val="24"/>
        </w:rPr>
        <w:lastRenderedPageBreak/>
        <w:t>level between the hedging quota in regular months and the general position limit of such listed product in nearby delivery months as the hedging quota for nearby delivery months.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Integer multiple adjustments to hedging positions of relevant products for nearby delivery months shall be implemented by reference to the method of integer multiple adjustments to general positions.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47</w:t>
      </w:r>
      <w:r>
        <w:rPr>
          <w:rFonts w:ascii="Times New Roman" w:hAnsi="Times New Roman"/>
          <w:b/>
          <w:sz w:val="24"/>
          <w:szCs w:val="24"/>
        </w:rPr>
        <w:tab/>
      </w:r>
      <w:r>
        <w:rPr>
          <w:rFonts w:ascii="Times New Roman" w:hAnsi="Times New Roman"/>
          <w:sz w:val="24"/>
          <w:szCs w:val="24"/>
        </w:rPr>
        <w:t>If the hedging positions of a Non-FF Member, an OSNBP or a Client exceed the approved quota, the Non-FF Member, the OSNBP or the Client shall make adjustments on its own during the first session of trading hours on the next trading day. If the adjustments are not made within the prescribed time or the requirements remain unsatisfied even after adjustments, the Exchange may implement forced position liquidation.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48</w:t>
      </w:r>
      <w:r>
        <w:rPr>
          <w:rFonts w:ascii="Times New Roman" w:hAnsi="Times New Roman"/>
          <w:b/>
          <w:sz w:val="24"/>
          <w:szCs w:val="24"/>
        </w:rPr>
        <w:tab/>
      </w:r>
      <w:r>
        <w:rPr>
          <w:rFonts w:ascii="Times New Roman" w:hAnsi="Times New Roman"/>
          <w:sz w:val="24"/>
          <w:szCs w:val="24"/>
        </w:rPr>
        <w:t>The Exchange may investigate and supervise the production and operational conditions, credit profile and trading activities in the futures and physical markets provided by hedging applicants, and the applicants shall assist and cooperate with the Exchange during the investigation and supervision.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49</w:t>
      </w:r>
      <w:r>
        <w:rPr>
          <w:rFonts w:ascii="Times New Roman" w:hAnsi="Times New Roman"/>
          <w:b/>
          <w:sz w:val="24"/>
          <w:szCs w:val="24"/>
        </w:rPr>
        <w:tab/>
      </w:r>
      <w:r>
        <w:rPr>
          <w:rFonts w:ascii="Times New Roman" w:hAnsi="Times New Roman"/>
          <w:sz w:val="24"/>
          <w:szCs w:val="24"/>
        </w:rPr>
        <w:t>The Exchange shall supervise the usage of hedging quota.</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Exchange may adjust the hedging quota of a Non-FF Member, an OSNBP or a Client based on the market condition, and the production and operational conditions of the hedging applicant.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Exchange may require a Non-FF Member, an OSNBP or a Client to report the futures and physicals trading activities, and provide supplementary supporting materials for the obtained hedging quota based on the futures and physical markets and the open interest held in the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50</w:t>
      </w:r>
      <w:r>
        <w:rPr>
          <w:rFonts w:ascii="Times New Roman" w:hAnsi="Times New Roman"/>
          <w:b/>
          <w:sz w:val="24"/>
          <w:szCs w:val="24"/>
        </w:rPr>
        <w:tab/>
      </w:r>
      <w:r>
        <w:rPr>
          <w:rFonts w:ascii="Times New Roman" w:hAnsi="Times New Roman"/>
          <w:sz w:val="24"/>
          <w:szCs w:val="24"/>
        </w:rPr>
        <w:t>If a Non-FF Member, an OSNBP or a Client has material change in its production and operational conditions, etc. that may affect the hedging quotas, it shall report to the Exchange without delay.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lastRenderedPageBreak/>
        <w:t>Article 51</w:t>
      </w:r>
      <w:r>
        <w:rPr>
          <w:rFonts w:ascii="Times New Roman" w:hAnsi="Times New Roman"/>
          <w:b/>
          <w:sz w:val="24"/>
          <w:szCs w:val="24"/>
        </w:rPr>
        <w:tab/>
      </w:r>
      <w:r>
        <w:rPr>
          <w:rFonts w:ascii="Times New Roman" w:hAnsi="Times New Roman"/>
          <w:sz w:val="24"/>
          <w:szCs w:val="24"/>
        </w:rPr>
        <w:t>If a Non-FF Member, an OSNBP or a Client frequently opens and closes positions within the hedging quota, or uses the obtained quota to affect or attempt to affect market prices, the Exchange may adopt the following measures depending on the severity of the situation: giving verbal alert, warning letter, adjusting or cancelling the hedging quota, restricting position opening, ordering position liquidation to be conducted within a specified period, implementing forced position liquidation, and any other actions deemed necessary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52</w:t>
      </w:r>
      <w:r>
        <w:rPr>
          <w:rFonts w:ascii="Times New Roman" w:hAnsi="Times New Roman"/>
          <w:b/>
          <w:sz w:val="24"/>
          <w:szCs w:val="24"/>
        </w:rPr>
        <w:tab/>
      </w:r>
      <w:r>
        <w:rPr>
          <w:rFonts w:ascii="Times New Roman" w:hAnsi="Times New Roman"/>
          <w:sz w:val="24"/>
          <w:szCs w:val="24"/>
        </w:rPr>
        <w:t xml:space="preserve">If a Member, an OSP, an Overseas Intermediary or a Client engages in any fraud or violation of the Exchange’s rules when applying for hedging quota or conducting hedging activities, the Exchange may dismiss the application, adjust or cancel the hedging quota, convert the hedging positions to general positions, or implement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53</w:t>
      </w:r>
      <w:r>
        <w:rPr>
          <w:rFonts w:ascii="Times New Roman" w:hAnsi="Times New Roman"/>
          <w:b/>
          <w:sz w:val="24"/>
          <w:szCs w:val="24"/>
        </w:rPr>
        <w:tab/>
      </w:r>
      <w:r>
        <w:rPr>
          <w:rFonts w:ascii="Times New Roman" w:hAnsi="Times New Roman"/>
          <w:sz w:val="24"/>
          <w:szCs w:val="24"/>
        </w:rPr>
        <w:t>The Exchange may formulate the method of collecting margins and transaction fees for hedging positions.</w:t>
      </w:r>
    </w:p>
    <w:p w:rsidR="00164D37" w:rsidRDefault="00164D37" w:rsidP="00164D37">
      <w:pPr>
        <w:pStyle w:val="1"/>
        <w:spacing w:after="240" w:line="360" w:lineRule="auto"/>
        <w:jc w:val="center"/>
        <w:rPr>
          <w:sz w:val="24"/>
          <w:szCs w:val="24"/>
        </w:rPr>
      </w:pPr>
      <w:r>
        <w:rPr>
          <w:sz w:val="24"/>
          <w:szCs w:val="24"/>
        </w:rPr>
        <w:t>Chapter 6</w:t>
      </w:r>
      <w:r>
        <w:rPr>
          <w:sz w:val="24"/>
          <w:szCs w:val="24"/>
        </w:rPr>
        <w:tab/>
        <w:t>Arbitrage Trading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54</w:t>
      </w:r>
      <w:r>
        <w:rPr>
          <w:rFonts w:ascii="Times New Roman" w:hAnsi="Times New Roman"/>
          <w:b/>
          <w:sz w:val="24"/>
          <w:szCs w:val="24"/>
        </w:rPr>
        <w:tab/>
      </w:r>
      <w:r>
        <w:rPr>
          <w:rFonts w:ascii="Times New Roman" w:hAnsi="Times New Roman"/>
          <w:sz w:val="24"/>
          <w:szCs w:val="24"/>
        </w:rPr>
        <w:t>Arbitrage trading is classified into calendar spread arbitrage and cross-product arbitrage. The product portfolio for cross-product arbitrage will be announced by the Exchange separately.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55</w:t>
      </w:r>
      <w:r>
        <w:rPr>
          <w:rFonts w:ascii="Times New Roman" w:hAnsi="Times New Roman"/>
          <w:b/>
          <w:sz w:val="24"/>
          <w:szCs w:val="24"/>
        </w:rPr>
        <w:tab/>
      </w:r>
      <w:r>
        <w:rPr>
          <w:rFonts w:ascii="Times New Roman" w:hAnsi="Times New Roman"/>
          <w:sz w:val="24"/>
          <w:szCs w:val="24"/>
        </w:rPr>
        <w:t>If the quota for general positions cannot satisfy the arbitrage requirements, a Non-FF Member, an OSNBP or a Client may apply for arbitrage quota.</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Arbitrage quota is classified into arbitrage trading position quota for regular months (hereinafter referred to as the “arbitrage quota for regular months”) and arbitrage trading position quota for nearby delivery months (hereinafter referred to as the “arbitrage quota for nearby delivery months”).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arbitrage quota for regular months applies to all the contracts of the applied products in regular months, but cannot be converted to the arbitrage quota for nearby </w:t>
      </w:r>
      <w:r>
        <w:rPr>
          <w:rFonts w:ascii="Times New Roman" w:hAnsi="Times New Roman"/>
          <w:sz w:val="24"/>
          <w:szCs w:val="24"/>
        </w:rPr>
        <w:lastRenderedPageBreak/>
        <w:t>delivery months.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56</w:t>
      </w:r>
      <w:r>
        <w:rPr>
          <w:rFonts w:ascii="Times New Roman" w:hAnsi="Times New Roman"/>
          <w:b/>
          <w:sz w:val="24"/>
          <w:szCs w:val="24"/>
        </w:rPr>
        <w:tab/>
      </w:r>
      <w:r>
        <w:rPr>
          <w:rFonts w:ascii="Times New Roman" w:hAnsi="Times New Roman"/>
          <w:sz w:val="24"/>
          <w:szCs w:val="24"/>
        </w:rPr>
        <w:t>Clients shall apply to their account opening institutions for arbitrage quota. The account opening institutions shall, according to relevant provisions, apply to the Exchange after verification. Non-FF Members and OSNBPs shall directly apply to the Exchange for arbitrage quota.</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57</w:t>
      </w:r>
      <w:r>
        <w:rPr>
          <w:rFonts w:ascii="Times New Roman" w:hAnsi="Times New Roman"/>
          <w:b/>
          <w:sz w:val="24"/>
          <w:szCs w:val="24"/>
        </w:rPr>
        <w:tab/>
      </w:r>
      <w:r>
        <w:rPr>
          <w:rFonts w:ascii="Times New Roman" w:hAnsi="Times New Roman"/>
          <w:sz w:val="24"/>
          <w:szCs w:val="24"/>
        </w:rPr>
        <w:t>A Non-FF Member, an OSNBP or a Client may apply for arbitrage quota for the regular months of certain listed product(s) and submit the following materials: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an Application (approval) Form of Arbitrage Quota for Regular Months;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arbitrage trading strategies, including the description of fund source and size, calendar spread arbitrage or cross-products arbitrage and any other relevant factors; and</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other materials required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58</w:t>
      </w:r>
      <w:r>
        <w:rPr>
          <w:rFonts w:ascii="Times New Roman" w:hAnsi="Times New Roman"/>
          <w:b/>
          <w:sz w:val="24"/>
          <w:szCs w:val="24"/>
        </w:rPr>
        <w:tab/>
      </w:r>
      <w:r>
        <w:rPr>
          <w:rFonts w:ascii="Times New Roman" w:hAnsi="Times New Roman"/>
          <w:sz w:val="24"/>
          <w:szCs w:val="24"/>
        </w:rPr>
        <w:t>The Exchange shall determine the arbitrage quota for regular months based on the market condition, applicant’s credit profile, trading history, usage of arbitrage trading positions and any other relevant factors.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59</w:t>
      </w:r>
      <w:r>
        <w:rPr>
          <w:rFonts w:ascii="Times New Roman" w:hAnsi="Times New Roman"/>
          <w:b/>
          <w:sz w:val="24"/>
          <w:szCs w:val="24"/>
        </w:rPr>
        <w:tab/>
      </w:r>
      <w:r>
        <w:rPr>
          <w:rFonts w:ascii="Times New Roman" w:hAnsi="Times New Roman"/>
          <w:sz w:val="24"/>
          <w:szCs w:val="24"/>
        </w:rPr>
        <w:t>A Non-FF Member, an OSNBP or a Client may apply for arbitrage quota for nearby delivery months of certain contract(s) and submit the following materials: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an Application (Approval) Form of Arbitrage Quota for Nearby Delivery Months;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arbitrage trading strategies, including the description of fund source and size, calendar spread arbitrage or cross-products arbitrage, arrangement for position opening and reduction, intention of delivery and any other relevant factors;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price deviation analyses for applied contract(s); and</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other materials required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60</w:t>
      </w:r>
      <w:r>
        <w:rPr>
          <w:rFonts w:ascii="Times New Roman" w:hAnsi="Times New Roman"/>
          <w:b/>
          <w:sz w:val="24"/>
          <w:szCs w:val="24"/>
        </w:rPr>
        <w:tab/>
      </w:r>
      <w:r>
        <w:rPr>
          <w:rFonts w:ascii="Times New Roman" w:hAnsi="Times New Roman"/>
          <w:sz w:val="24"/>
          <w:szCs w:val="24"/>
        </w:rPr>
        <w:t>The Exchange shall determine the arbitrage quota for nearby delivery months based on the market condition, applicant’s credit profile, trading history, usage of arbitrage trading positions, amount of deliverable commodities, whether price differences of applied contracts are deviated and any other relevant factors.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61</w:t>
      </w:r>
      <w:r>
        <w:rPr>
          <w:rFonts w:ascii="Times New Roman" w:hAnsi="Times New Roman"/>
          <w:b/>
          <w:sz w:val="24"/>
          <w:szCs w:val="24"/>
        </w:rPr>
        <w:tab/>
      </w:r>
      <w:r>
        <w:rPr>
          <w:rFonts w:ascii="Times New Roman" w:hAnsi="Times New Roman"/>
          <w:sz w:val="24"/>
          <w:szCs w:val="24"/>
        </w:rPr>
        <w:t>Upon receiving all the application materials for arbitrage quota, the Exchange shall, within five (5) trading days, review the application and make a decision based on the following scenarios:</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arbitrage trading requirements are satisfied, and notify the applicant of the result;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arbitrage trading requirements are not satisfied, and notify the applicant of the result;</w:t>
      </w:r>
    </w:p>
    <w:p w:rsidR="00164D37" w:rsidRDefault="00164D37" w:rsidP="008D2CD4">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Exchange shall request additional supporting documents from the applicant if the application materials are insufficient.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62</w:t>
      </w:r>
      <w:r>
        <w:rPr>
          <w:rFonts w:ascii="Times New Roman" w:hAnsi="Times New Roman"/>
          <w:b/>
          <w:sz w:val="24"/>
          <w:szCs w:val="24"/>
        </w:rPr>
        <w:tab/>
      </w:r>
      <w:r>
        <w:rPr>
          <w:rFonts w:ascii="Times New Roman" w:hAnsi="Times New Roman"/>
          <w:sz w:val="24"/>
          <w:szCs w:val="24"/>
        </w:rPr>
        <w:t>If a Non-FF Member, an OSNBP or a Client needs to adjust the arbitrage quota, it shall submit an application of adjustment to the Exchange along with supporting documents without delay. If there is material change in its operational conditions, it shall timely report to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63</w:t>
      </w:r>
      <w:r>
        <w:rPr>
          <w:rFonts w:ascii="Times New Roman" w:hAnsi="Times New Roman"/>
          <w:b/>
          <w:sz w:val="24"/>
          <w:szCs w:val="24"/>
        </w:rPr>
        <w:tab/>
      </w:r>
      <w:r>
        <w:rPr>
          <w:rFonts w:ascii="Times New Roman" w:hAnsi="Times New Roman"/>
          <w:sz w:val="24"/>
          <w:szCs w:val="24"/>
        </w:rPr>
        <w:t>The Exchange may adjust the arbitrage quota of a Non-FF Member, an OSNBP or a Client based on the market condition.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64</w:t>
      </w:r>
      <w:r>
        <w:rPr>
          <w:rFonts w:ascii="Times New Roman" w:hAnsi="Times New Roman"/>
          <w:b/>
          <w:sz w:val="24"/>
          <w:szCs w:val="24"/>
        </w:rPr>
        <w:tab/>
      </w:r>
      <w:r>
        <w:rPr>
          <w:rFonts w:ascii="Times New Roman" w:hAnsi="Times New Roman"/>
          <w:sz w:val="24"/>
          <w:szCs w:val="24"/>
        </w:rPr>
        <w:t xml:space="preserve">If the general positions and the arbitrage trading positions of a Non-FF Member, an OSNBP or a Client accumulatively exceed the sum of the general position limit for the contracts in different periods and the approved arbitrage quota of the same period, the Non-FF Member, the OSNBP or the Client shall make adjustments on their own during the first session of trading hours on the next trading day; if the adjustments are not made within the prescribed time or the requirements are still not satisfied even after adjustments, the Exchange may implement forced </w:t>
      </w:r>
      <w:r>
        <w:rPr>
          <w:rFonts w:ascii="Times New Roman" w:hAnsi="Times New Roman"/>
          <w:sz w:val="24"/>
          <w:szCs w:val="24"/>
        </w:rPr>
        <w:lastRenderedPageBreak/>
        <w:t>position liquidation.</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sum of general positions and arbitrage trading positions is the non-hedging positions.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For calculation purposes, long non-hedging quota includes the non-hedging quota for long positions in futures contracts, long positions in call options contracts, and short positions in put options contracts; short non-hedging quota includes the non-hedging quota for short positions in futures contract, short positions in call options contracts, and long positions in put options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65</w:t>
      </w:r>
      <w:r>
        <w:rPr>
          <w:rFonts w:ascii="Times New Roman" w:hAnsi="Times New Roman"/>
          <w:b/>
          <w:sz w:val="24"/>
          <w:szCs w:val="24"/>
        </w:rPr>
        <w:tab/>
      </w:r>
      <w:r>
        <w:rPr>
          <w:rFonts w:ascii="Times New Roman" w:hAnsi="Times New Roman"/>
          <w:sz w:val="24"/>
          <w:szCs w:val="24"/>
        </w:rPr>
        <w:t>The Exchange shall supervise the usage of the obtained arbitrage quota by a Non-FF Member, an OSNBP or a Client.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a Member, an OSP, an Overseas Intermediary or a Client engages in any fraud or violation of laws, regulations and the Exchange’s rules when applying for arbitrage quota or conducting arbitrage activities, the Exchange may dismiss the application, adjust or cancel the arbitrage quota, or if necessary, take measures such as restricting position opening, ordering position liquidation to be conducted within a specified period, implementing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66</w:t>
      </w:r>
      <w:r>
        <w:rPr>
          <w:rFonts w:ascii="Times New Roman" w:hAnsi="Times New Roman"/>
          <w:b/>
          <w:sz w:val="24"/>
          <w:szCs w:val="24"/>
        </w:rPr>
        <w:tab/>
      </w:r>
      <w:r>
        <w:rPr>
          <w:rFonts w:ascii="Times New Roman" w:hAnsi="Times New Roman"/>
          <w:sz w:val="24"/>
          <w:szCs w:val="24"/>
        </w:rPr>
        <w:t xml:space="preserve">If a Non-FF Member, an OSNBP or a Client uses the approved arbitrage quota to affect or attempt to affect market prices, the Exchange may adopt the following measures depending on the severity of the situation: giving verbal alert, warning letter, adjusting or cancelling the arbitrage quota, or if necessary, restricting position opening, ordering position liquidation to be conducted within a specified period, implementing position liquidation and imposing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67</w:t>
      </w:r>
      <w:r>
        <w:rPr>
          <w:rFonts w:ascii="Times New Roman" w:hAnsi="Times New Roman"/>
          <w:b/>
          <w:sz w:val="24"/>
          <w:szCs w:val="24"/>
        </w:rPr>
        <w:tab/>
      </w:r>
      <w:r>
        <w:rPr>
          <w:rFonts w:ascii="Times New Roman" w:hAnsi="Times New Roman"/>
          <w:sz w:val="24"/>
          <w:szCs w:val="24"/>
        </w:rPr>
        <w:t>The Exchange may formulate the methods for collecting margins and transaction fees for arbitrage trading positions.</w:t>
      </w:r>
    </w:p>
    <w:p w:rsidR="00164D37" w:rsidRDefault="00164D37" w:rsidP="00164D37">
      <w:pPr>
        <w:pStyle w:val="1"/>
        <w:spacing w:after="240" w:line="360" w:lineRule="auto"/>
        <w:jc w:val="center"/>
        <w:rPr>
          <w:sz w:val="24"/>
          <w:szCs w:val="24"/>
        </w:rPr>
      </w:pPr>
      <w:r>
        <w:rPr>
          <w:sz w:val="24"/>
          <w:szCs w:val="24"/>
        </w:rPr>
        <w:lastRenderedPageBreak/>
        <w:t>Chapter 7</w:t>
      </w:r>
      <w:r>
        <w:rPr>
          <w:sz w:val="24"/>
          <w:szCs w:val="24"/>
        </w:rPr>
        <w:tab/>
        <w:t>Hedge Trading and Arbitrage Trading of Crude Oil Futures Contracts and Crude Oil Options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68</w:t>
      </w:r>
      <w:r>
        <w:rPr>
          <w:rFonts w:ascii="Times New Roman" w:hAnsi="Times New Roman"/>
          <w:b/>
          <w:sz w:val="24"/>
          <w:szCs w:val="24"/>
        </w:rPr>
        <w:tab/>
      </w:r>
      <w:r>
        <w:rPr>
          <w:rFonts w:ascii="Times New Roman" w:hAnsi="Times New Roman"/>
          <w:sz w:val="24"/>
          <w:szCs w:val="24"/>
        </w:rPr>
        <w:t>The regular months regarding the hedging and arbitrage trading positions of a crude oil futures contract or crude oil options contract shall be the period from the listing day of the contract to the last trading day in the third month prior to the delivery month (or, here and hereinafter, the contract month in the case of options contracts); the nearby delivery months are the second and the first months prior to the delivery month.</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69</w:t>
      </w:r>
      <w:r>
        <w:rPr>
          <w:rFonts w:ascii="Times New Roman" w:hAnsi="Times New Roman"/>
          <w:b/>
          <w:sz w:val="24"/>
          <w:szCs w:val="24"/>
        </w:rPr>
        <w:tab/>
      </w:r>
      <w:r>
        <w:rPr>
          <w:rFonts w:ascii="Times New Roman" w:hAnsi="Times New Roman"/>
          <w:sz w:val="24"/>
          <w:szCs w:val="24"/>
        </w:rPr>
        <w:t>The application for hedging quota and arbitrage quota for regular delivery months of a crude oil futures contract or crude oil options contract shall be submitted during the period from the listing day of the contract to the last trading day of the third month prior to the delivery month of the contract. The Exchange does not accept any applications beyond such period.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crude oil futures contract or crude oil options contract shall be submitted during the period from the first trading day of the fourth month prior to the delivery month to the last trading day of the second month prior to the delivery month of the contract; that for arbitrage quota for nearby delivery months shall be submitted during the period from the first trading day of the third month prior to the delivery month to the last trading day of the second month prior to the delivery month of the contract. The Exchange does not accept any applications beyond such period.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70</w:t>
      </w:r>
      <w:r>
        <w:rPr>
          <w:rFonts w:ascii="Times New Roman" w:hAnsi="Times New Roman"/>
          <w:b/>
          <w:sz w:val="24"/>
          <w:szCs w:val="24"/>
        </w:rPr>
        <w:tab/>
      </w:r>
      <w:r>
        <w:rPr>
          <w:rFonts w:ascii="Times New Roman" w:hAnsi="Times New Roman"/>
          <w:sz w:val="24"/>
          <w:szCs w:val="24"/>
        </w:rPr>
        <w:t>The hedging quota for nearby delivery months of a crude oil futures contract or crude oil options contract may be repeatedly used in the second month prior to the delivery month, but cannot be repeatedly used from the first trading day of the first month prior to the delivery month.</w:t>
      </w:r>
    </w:p>
    <w:p w:rsidR="00164D37" w:rsidRDefault="00164D37" w:rsidP="00164D37">
      <w:pPr>
        <w:pStyle w:val="1"/>
        <w:spacing w:after="240" w:line="360" w:lineRule="auto"/>
        <w:jc w:val="center"/>
        <w:rPr>
          <w:sz w:val="24"/>
          <w:szCs w:val="24"/>
        </w:rPr>
      </w:pPr>
      <w:r>
        <w:rPr>
          <w:sz w:val="24"/>
          <w:szCs w:val="24"/>
        </w:rPr>
        <w:t>Chapter 8</w:t>
      </w:r>
      <w:r>
        <w:rPr>
          <w:sz w:val="24"/>
          <w:szCs w:val="24"/>
        </w:rPr>
        <w:tab/>
        <w:t>Hedge Trading and Arbitrage Trading of Low Sulfur Fuel Oil Futures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71</w:t>
      </w:r>
      <w:r>
        <w:rPr>
          <w:rFonts w:ascii="Times New Roman" w:hAnsi="Times New Roman"/>
          <w:b/>
          <w:sz w:val="24"/>
          <w:szCs w:val="24"/>
        </w:rPr>
        <w:tab/>
      </w:r>
      <w:r>
        <w:rPr>
          <w:rFonts w:ascii="Times New Roman" w:hAnsi="Times New Roman"/>
          <w:sz w:val="24"/>
          <w:szCs w:val="24"/>
        </w:rPr>
        <w:t xml:space="preserve">With respect to hedging and arbitrage trading positions in a low sulfur </w:t>
      </w:r>
      <w:r>
        <w:rPr>
          <w:rFonts w:ascii="Times New Roman" w:hAnsi="Times New Roman"/>
          <w:sz w:val="24"/>
          <w:szCs w:val="24"/>
        </w:rPr>
        <w:lastRenderedPageBreak/>
        <w:t>fuel oil futures contract, the regular months are the period from the listing day of the contract to the last trading day of the third month prior to the delivery month; the nearby delivery months are the second month prior to the delivery month and the month prior to the delivery month.</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72</w:t>
      </w:r>
      <w:r>
        <w:rPr>
          <w:rFonts w:ascii="Times New Roman" w:hAnsi="Times New Roman"/>
          <w:b/>
          <w:sz w:val="24"/>
          <w:szCs w:val="24"/>
        </w:rPr>
        <w:tab/>
      </w:r>
      <w:r>
        <w:rPr>
          <w:rFonts w:ascii="Times New Roman" w:hAnsi="Times New Roman"/>
          <w:sz w:val="24"/>
          <w:szCs w:val="24"/>
        </w:rPr>
        <w:t>The application for hedging quota for regular months of a low sulfur fuel oil futures contract shall be submitted between the listing day of the contract and the last trading day of the third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low sulfur fuel oil futures contract shall be submitted between the first trading day of the fourth month prior to the delivery month of the contract and the last trading day of the second month prior to the delivery month of the contract. The application for arbitrage quota for nearby delivery months of a low sulfur fuel oil futures contract shall be submitted between the first trading day of the third month prior to the delivery month of the contract and the last trading day of the second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73</w:t>
      </w:r>
      <w:r>
        <w:rPr>
          <w:rFonts w:ascii="Times New Roman" w:hAnsi="Times New Roman"/>
          <w:b/>
          <w:sz w:val="24"/>
          <w:szCs w:val="24"/>
        </w:rPr>
        <w:tab/>
      </w:r>
      <w:r>
        <w:rPr>
          <w:rFonts w:ascii="Times New Roman" w:hAnsi="Times New Roman"/>
          <w:sz w:val="24"/>
          <w:szCs w:val="24"/>
        </w:rPr>
        <w:t>The hedging quota for nearby delivery months of a low sulfur fuel oil futures contract may be repeatedly used in the second month prior to the delivery month, but cannot be repeatedly used from the first trading day of the month prior to the delivery month.</w:t>
      </w:r>
    </w:p>
    <w:p w:rsidR="00164D37" w:rsidRDefault="00164D37" w:rsidP="00164D37">
      <w:pPr>
        <w:pStyle w:val="1"/>
        <w:spacing w:after="240" w:line="360" w:lineRule="auto"/>
        <w:jc w:val="center"/>
        <w:rPr>
          <w:sz w:val="24"/>
          <w:szCs w:val="24"/>
        </w:rPr>
      </w:pPr>
      <w:r>
        <w:rPr>
          <w:sz w:val="24"/>
          <w:szCs w:val="24"/>
        </w:rPr>
        <w:t>Chapter 9</w:t>
      </w:r>
      <w:r>
        <w:rPr>
          <w:sz w:val="24"/>
          <w:szCs w:val="24"/>
        </w:rPr>
        <w:tab/>
        <w:t>Hedge Trading and Arbitrage Trading of TSR 20 Futures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74</w:t>
      </w:r>
      <w:r>
        <w:rPr>
          <w:rFonts w:ascii="Times New Roman" w:hAnsi="Times New Roman"/>
          <w:b/>
          <w:sz w:val="24"/>
          <w:szCs w:val="24"/>
        </w:rPr>
        <w:tab/>
      </w:r>
      <w:r>
        <w:rPr>
          <w:rFonts w:ascii="Times New Roman" w:hAnsi="Times New Roman"/>
          <w:sz w:val="24"/>
          <w:szCs w:val="24"/>
        </w:rPr>
        <w:t xml:space="preserve">With respect to </w:t>
      </w:r>
      <w:r>
        <w:rPr>
          <w:rFonts w:ascii="Times New Roman" w:hAnsi="Times New Roman"/>
          <w:b/>
          <w:sz w:val="24"/>
          <w:szCs w:val="24"/>
        </w:rPr>
        <w:t>hedging</w:t>
      </w:r>
      <w:r>
        <w:rPr>
          <w:rFonts w:ascii="Times New Roman" w:hAnsi="Times New Roman"/>
          <w:sz w:val="24"/>
          <w:szCs w:val="24"/>
        </w:rPr>
        <w:t xml:space="preserve"> and arbitrage trading positions in a TSR 20 futures contract, the regular months are the period from the listing day of the contract to the last trading day of the second month prior to the delivery month; the nearby delivery months are the month prior to the delivery month and the delivery month.</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75</w:t>
      </w:r>
      <w:r>
        <w:rPr>
          <w:rFonts w:ascii="Times New Roman" w:hAnsi="Times New Roman"/>
          <w:b/>
          <w:sz w:val="24"/>
          <w:szCs w:val="24"/>
        </w:rPr>
        <w:tab/>
      </w:r>
      <w:r>
        <w:rPr>
          <w:rFonts w:ascii="Times New Roman" w:hAnsi="Times New Roman"/>
          <w:sz w:val="24"/>
          <w:szCs w:val="24"/>
        </w:rPr>
        <w:t xml:space="preserve">The application for hedging quota for regular months of a TSR 20 futures contract shall be submitted between the listing day of the contract and the last </w:t>
      </w:r>
      <w:r>
        <w:rPr>
          <w:rFonts w:ascii="Times New Roman" w:hAnsi="Times New Roman"/>
          <w:sz w:val="24"/>
          <w:szCs w:val="24"/>
        </w:rPr>
        <w:lastRenderedPageBreak/>
        <w:t>trading day of the second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TSR 20 futures contract shall be submitted between the first trading day of the third month prior to the delivery month of the contract and the last trading day of the month prior to the delivery month of the contract. The application for arbitrage quota for nearby delivery months of a TSR 20 futures contract shall be submitted between the first trading day of the second month prior to the delivery month of the contract and the last trading day of the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76</w:t>
      </w:r>
      <w:r>
        <w:rPr>
          <w:rFonts w:ascii="Times New Roman" w:hAnsi="Times New Roman"/>
          <w:b/>
          <w:sz w:val="24"/>
          <w:szCs w:val="24"/>
        </w:rPr>
        <w:tab/>
      </w:r>
      <w:r>
        <w:rPr>
          <w:rFonts w:ascii="Times New Roman" w:hAnsi="Times New Roman"/>
          <w:sz w:val="24"/>
          <w:szCs w:val="24"/>
        </w:rPr>
        <w:t>The hedging quota for nearby delivery months of a TSR 20 futures contract may be repeatedly used in the month prior to the delivery month, but cannot be repeatedly used from the first trading day of the delivery month.</w:t>
      </w:r>
    </w:p>
    <w:p w:rsidR="00164D37" w:rsidRDefault="00164D37" w:rsidP="00164D37">
      <w:pPr>
        <w:pStyle w:val="1"/>
        <w:spacing w:after="240" w:line="360" w:lineRule="auto"/>
        <w:jc w:val="center"/>
        <w:rPr>
          <w:sz w:val="24"/>
          <w:szCs w:val="24"/>
        </w:rPr>
      </w:pPr>
      <w:r>
        <w:rPr>
          <w:sz w:val="24"/>
          <w:szCs w:val="24"/>
        </w:rPr>
        <w:t>Chapter 10</w:t>
      </w:r>
      <w:r>
        <w:rPr>
          <w:sz w:val="24"/>
          <w:szCs w:val="24"/>
        </w:rPr>
        <w:tab/>
        <w:t>Hedge Trading and Arbitrage Trading of Copper Cathode Futures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77</w:t>
      </w:r>
      <w:r>
        <w:rPr>
          <w:rFonts w:ascii="Times New Roman" w:hAnsi="Times New Roman"/>
          <w:b/>
          <w:sz w:val="24"/>
          <w:szCs w:val="24"/>
        </w:rPr>
        <w:tab/>
      </w:r>
      <w:r>
        <w:rPr>
          <w:rFonts w:ascii="Times New Roman" w:hAnsi="Times New Roman"/>
          <w:sz w:val="24"/>
          <w:szCs w:val="24"/>
        </w:rPr>
        <w:t>With respect to hedging and arbitrage trading positions in a copper cathode futures contract, the regular months are the period from the listing day of the contract to the last trading day of the second month prior to the delivery month; the nearby delivery months are the month prior to the delivery month and the delivery month.</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78</w:t>
      </w:r>
      <w:r>
        <w:rPr>
          <w:rFonts w:ascii="Times New Roman" w:hAnsi="Times New Roman"/>
          <w:b/>
          <w:sz w:val="24"/>
          <w:szCs w:val="24"/>
        </w:rPr>
        <w:tab/>
      </w:r>
      <w:r>
        <w:rPr>
          <w:rFonts w:ascii="Times New Roman" w:hAnsi="Times New Roman"/>
          <w:sz w:val="24"/>
          <w:szCs w:val="24"/>
        </w:rPr>
        <w:t>The application for hedging quota for regular months of a copper cathode futures contract shall be submitted between the listing day of the contract and the last trading day of the second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application for hedging quota for nearby delivery months of a copper cathode futures contract shall be submitted between the first trading day of the third month prior to the delivery month of the contract and the last trading day of the month prior to the delivery month of the contract. The application for arbitrage quota for nearby </w:t>
      </w:r>
      <w:r>
        <w:rPr>
          <w:rFonts w:ascii="Times New Roman" w:hAnsi="Times New Roman"/>
          <w:sz w:val="24"/>
          <w:szCs w:val="24"/>
        </w:rPr>
        <w:lastRenderedPageBreak/>
        <w:t>delivery months of a copper cathode futures contract shall be submitted between the first trading day of the second month prior to the delivery month of the contract and the last trading day of the month prior to the delivery month of the contract.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79</w:t>
      </w:r>
      <w:r>
        <w:rPr>
          <w:rFonts w:ascii="Times New Roman" w:hAnsi="Times New Roman"/>
          <w:b/>
          <w:sz w:val="24"/>
          <w:szCs w:val="24"/>
        </w:rPr>
        <w:tab/>
      </w:r>
      <w:r>
        <w:rPr>
          <w:rFonts w:ascii="Times New Roman" w:hAnsi="Times New Roman"/>
          <w:sz w:val="24"/>
          <w:szCs w:val="24"/>
        </w:rPr>
        <w:t>The hedging quota for nearby delivery months of a copper cathode futures contract may be repeatedly used in the month prior to the delivery month, but cannot be repeatedly used from the first trading day of the delivery month.</w:t>
      </w:r>
    </w:p>
    <w:p w:rsidR="00164D37" w:rsidRDefault="00164D37" w:rsidP="00164D37">
      <w:pPr>
        <w:pStyle w:val="1"/>
        <w:spacing w:after="240" w:line="360" w:lineRule="auto"/>
        <w:jc w:val="center"/>
        <w:rPr>
          <w:sz w:val="24"/>
          <w:szCs w:val="24"/>
        </w:rPr>
      </w:pPr>
      <w:r>
        <w:rPr>
          <w:sz w:val="24"/>
          <w:szCs w:val="24"/>
        </w:rPr>
        <w:t>Chapter 11</w:t>
      </w:r>
      <w:r>
        <w:rPr>
          <w:sz w:val="24"/>
          <w:szCs w:val="24"/>
        </w:rPr>
        <w:tab/>
        <w:t>Hedge Trading and Arbitrage Trading of Containerized Freight Index (Europe Service) Futures Contracts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80</w:t>
      </w:r>
      <w:r>
        <w:rPr>
          <w:rFonts w:ascii="Times New Roman" w:hAnsi="Times New Roman"/>
          <w:b/>
          <w:bCs/>
          <w:sz w:val="24"/>
          <w:szCs w:val="24"/>
        </w:rPr>
        <w:tab/>
      </w:r>
      <w:r>
        <w:rPr>
          <w:rFonts w:ascii="Times New Roman" w:hAnsi="Times New Roman"/>
          <w:sz w:val="24"/>
          <w:szCs w:val="24"/>
        </w:rPr>
        <w:t>With respect to hedging and arbitrage trading positions in a containerized freight index (Europe Service) futures contract, the regular months are the period from the listing day of the contract to the eighth trading day before the last trading day; the nearby delivery months are the period from the seventh trading day before the last trading day to the last trading day.</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81</w:t>
      </w:r>
      <w:r>
        <w:rPr>
          <w:rFonts w:ascii="Times New Roman" w:hAnsi="Times New Roman"/>
          <w:b/>
          <w:bCs/>
          <w:sz w:val="24"/>
          <w:szCs w:val="24"/>
        </w:rPr>
        <w:tab/>
      </w:r>
      <w:r>
        <w:rPr>
          <w:rFonts w:ascii="Times New Roman" w:hAnsi="Times New Roman"/>
          <w:sz w:val="24"/>
          <w:szCs w:val="24"/>
        </w:rPr>
        <w:t>The application for hedging quota for regular months of a containerized freight index (Europe Service) futures contract shall be submitted between the listing day of the contract and the eighth trading day before the last trading day.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and arbitrage quota for nearby delivery months of a containerized freight index (Europe Service) futures contract shall be submitted between the first trading day of the month before the delivery month of the contract and the fifth trading day before the last trading day. Late application will not be accepted.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hedging quota for nearby delivery months of a containerized freight index (Europe Service) futures contract may be repeatedly used between the seventh trading day before the last trading day and the third trading day before the last trading day, but cannot be repeatedly used from the second trading day before the last trading day.</w:t>
      </w:r>
    </w:p>
    <w:p w:rsidR="00164D37" w:rsidRDefault="00164D37" w:rsidP="00164D37">
      <w:pPr>
        <w:pStyle w:val="1"/>
        <w:spacing w:after="240" w:line="360" w:lineRule="auto"/>
        <w:jc w:val="center"/>
        <w:rPr>
          <w:sz w:val="24"/>
          <w:szCs w:val="24"/>
        </w:rPr>
      </w:pPr>
      <w:r>
        <w:rPr>
          <w:sz w:val="24"/>
          <w:szCs w:val="24"/>
        </w:rPr>
        <w:lastRenderedPageBreak/>
        <w:t>Chapter 12</w:t>
      </w:r>
      <w:r>
        <w:rPr>
          <w:sz w:val="24"/>
          <w:szCs w:val="24"/>
        </w:rPr>
        <w:tab/>
        <w:t>Miscellaneous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82</w:t>
      </w:r>
      <w:r>
        <w:rPr>
          <w:rFonts w:ascii="Times New Roman" w:hAnsi="Times New Roman"/>
          <w:b/>
          <w:sz w:val="24"/>
          <w:szCs w:val="24"/>
        </w:rPr>
        <w:tab/>
      </w:r>
      <w:r>
        <w:rPr>
          <w:rFonts w:ascii="Times New Roman" w:hAnsi="Times New Roman"/>
          <w:sz w:val="24"/>
          <w:szCs w:val="24"/>
        </w:rPr>
        <w:t>The following terms shall have the following definitions:</w:t>
      </w:r>
    </w:p>
    <w:p w:rsidR="00164D37" w:rsidRDefault="00164D37" w:rsidP="008D2CD4">
      <w:pPr>
        <w:pStyle w:val="Style103"/>
        <w:numPr>
          <w:ilvl w:val="0"/>
          <w:numId w:val="1"/>
        </w:numPr>
        <w:autoSpaceDE w:val="0"/>
        <w:autoSpaceDN w:val="0"/>
        <w:adjustRightInd w:val="0"/>
        <w:snapToGrid w:val="0"/>
        <w:spacing w:afterLines="100" w:line="360" w:lineRule="auto"/>
        <w:ind w:firstLineChars="0"/>
        <w:rPr>
          <w:rFonts w:ascii="Times New Roman" w:hAnsi="Times New Roman"/>
          <w:sz w:val="24"/>
          <w:szCs w:val="24"/>
        </w:rPr>
      </w:pPr>
      <w:r>
        <w:t xml:space="preserve"> “remote trading”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trading method by which Members and OSPs directly place trading orders for matching from their business premises through the telecommunication system connected to the Exchange’s computer trading system.</w:t>
      </w:r>
    </w:p>
    <w:p w:rsidR="00164D37" w:rsidRDefault="00164D37" w:rsidP="008D2CD4">
      <w:pPr>
        <w:spacing w:afterLines="100" w:line="360" w:lineRule="auto"/>
        <w:rPr>
          <w:rFonts w:ascii="Times New Roman" w:hAnsi="Times New Roman"/>
          <w:sz w:val="24"/>
          <w:szCs w:val="24"/>
        </w:rPr>
      </w:pPr>
      <w:r>
        <w:rPr>
          <w:rFonts w:ascii="Times New Roman" w:hAnsi="Times New Roman"/>
          <w:sz w:val="24"/>
          <w:szCs w:val="24"/>
        </w:rPr>
        <w:t>2.“program trading”</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trading method by which trading orders are automatically signaled or placed through established computerized trading models with the functions of market analysis, risk management, etc.</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3.“the first session of trading hours”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Day trading hours from 9:00 a.m. to 10:15 a.m. of the current trading day. If continuous trading hours of the listed products are adopted, the first session of trading hours refers to the period from the beginning of continuous trading hours of the previous trading day to 10:15 a.m. of the current trading day, unless otherwise prescribed by the Exchange.</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“the highest price”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highest transaction price among the transaction prices of a certain contract during a specified period of time.</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“the lowest price”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lowest transaction price among the transaction prices of a certain contract during a specified period of time.</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“the last price”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lastRenderedPageBreak/>
        <w:t>The latest transaction price during the trading period of a certain contract of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“price 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difference between the last price of a trade on a contract of a trading day and the settlement price of the previous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“the highest bid”</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current highest quote placed by a buyer for a contract during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“the lowest ask”</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current lowest quote placed by a seller for a contract during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“bid volume”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total of unfilled bids at the highest bid price remained in the Exchange’s trading system of a contract on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“ask volume”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total of unfilled asks at the lowest ask price remained in the Exchange’s trading system of a contract on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“trading volume”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volume of all filled orders on either long or short side of a certain contract of a trading day.</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“open interest”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volume of open positions in either long or short trades.</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“calendar spread arbitrage”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lastRenderedPageBreak/>
        <w:t>Arbitrage trading among different contracts of the same product.</w:t>
      </w:r>
    </w:p>
    <w:p w:rsidR="00164D37" w:rsidRDefault="00164D37" w:rsidP="008D2CD4">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“cross-product arbitrage”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Arbitrage trading among contracts of different products.</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sz w:val="24"/>
          <w:szCs w:val="24"/>
        </w:rPr>
        <w:t>Article 83</w:t>
      </w:r>
      <w:r>
        <w:rPr>
          <w:rFonts w:ascii="Times New Roman" w:hAnsi="Times New Roman"/>
          <w:sz w:val="24"/>
          <w:szCs w:val="24"/>
        </w:rPr>
        <w:tab/>
        <w:t xml:space="preserve">Where there are specific provisions in business rules regarding options trading prescribed by the Exchange, those provisions shall apply; to the extent of any matter regarding options trading not explicitly stipulated, these </w:t>
      </w:r>
      <w:r>
        <w:rPr>
          <w:rFonts w:ascii="Times New Roman" w:hAnsi="Times New Roman"/>
          <w:iCs/>
          <w:sz w:val="24"/>
          <w:szCs w:val="24"/>
        </w:rPr>
        <w:t>rules</w:t>
      </w:r>
      <w:r>
        <w:rPr>
          <w:rFonts w:ascii="Times New Roman" w:hAnsi="Times New Roman"/>
          <w:sz w:val="24"/>
          <w:szCs w:val="24"/>
        </w:rPr>
        <w:t xml:space="preserve"> shall apply. The terms such as “futures market” and “futures trading” of these </w:t>
      </w:r>
      <w:r>
        <w:rPr>
          <w:rFonts w:ascii="Times New Roman" w:hAnsi="Times New Roman"/>
          <w:i/>
          <w:sz w:val="24"/>
          <w:szCs w:val="24"/>
        </w:rPr>
        <w:t>Trading Rules</w:t>
      </w:r>
      <w:r>
        <w:rPr>
          <w:rFonts w:ascii="Times New Roman" w:hAnsi="Times New Roman"/>
          <w:sz w:val="24"/>
          <w:szCs w:val="24"/>
        </w:rPr>
        <w:t>, shall be deemed to include options business and related activities, unless otherwise prescribed by the Exchange.</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Violations of these </w:t>
      </w:r>
      <w:r>
        <w:rPr>
          <w:rFonts w:ascii="Times New Roman" w:hAnsi="Times New Roman"/>
          <w:i/>
          <w:sz w:val="24"/>
          <w:szCs w:val="24"/>
        </w:rPr>
        <w:t>Trading Rules</w:t>
      </w:r>
      <w:r>
        <w:rPr>
          <w:rFonts w:ascii="Times New Roman" w:hAnsi="Times New Roman"/>
          <w:sz w:val="24"/>
          <w:szCs w:val="24"/>
        </w:rPr>
        <w:t xml:space="preserve"> shall be subject to the sanctions provided in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84</w:t>
      </w:r>
      <w:r>
        <w:rPr>
          <w:rFonts w:ascii="Times New Roman" w:hAnsi="Times New Roman"/>
          <w:b/>
          <w:sz w:val="24"/>
          <w:szCs w:val="24"/>
        </w:rPr>
        <w:tab/>
      </w:r>
      <w:r>
        <w:rPr>
          <w:rFonts w:ascii="Times New Roman" w:hAnsi="Times New Roman"/>
          <w:sz w:val="24"/>
          <w:szCs w:val="24"/>
        </w:rPr>
        <w:t xml:space="preserve">The Exchange reserves the right to interpret these </w:t>
      </w:r>
      <w:r>
        <w:rPr>
          <w:rFonts w:ascii="Times New Roman" w:hAnsi="Times New Roman"/>
          <w:i/>
          <w:sz w:val="24"/>
          <w:szCs w:val="24"/>
        </w:rPr>
        <w:t>Trading Rules</w:t>
      </w:r>
      <w:r>
        <w:rPr>
          <w:rFonts w:ascii="Times New Roman" w:hAnsi="Times New Roman"/>
          <w:sz w:val="24"/>
          <w:szCs w:val="24"/>
        </w:rPr>
        <w:t>.</w:t>
      </w:r>
    </w:p>
    <w:p w:rsidR="00164D37" w:rsidRDefault="00164D37" w:rsidP="008D2CD4">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85</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shall be effective as of </w:t>
      </w:r>
      <w:r w:rsidR="005D701E">
        <w:rPr>
          <w:rFonts w:ascii="Times New Roman" w:hAnsi="Times New Roman" w:cs="Arial"/>
          <w:kern w:val="0"/>
          <w:sz w:val="22"/>
        </w:rPr>
        <w:t>November 21</w:t>
      </w:r>
      <w:r>
        <w:rPr>
          <w:rFonts w:ascii="Times New Roman" w:hAnsi="Times New Roman"/>
          <w:sz w:val="24"/>
          <w:szCs w:val="24"/>
        </w:rPr>
        <w:t>, 2023.</w:t>
      </w:r>
    </w:p>
    <w:p w:rsidR="003263BC" w:rsidRPr="00164D37" w:rsidRDefault="0049624A"/>
    <w:sectPr w:rsidR="003263BC" w:rsidRPr="00164D37" w:rsidSect="00C7610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24A" w:rsidRDefault="0049624A" w:rsidP="00164D37">
      <w:r>
        <w:separator/>
      </w:r>
    </w:p>
  </w:endnote>
  <w:endnote w:type="continuationSeparator" w:id="1">
    <w:p w:rsidR="0049624A" w:rsidRDefault="0049624A" w:rsidP="0016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49624A">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F944EA">
    <w:pPr>
      <w:pStyle w:val="a4"/>
      <w:jc w:val="center"/>
    </w:pPr>
    <w:r>
      <w:fldChar w:fldCharType="begin"/>
    </w:r>
    <w:r w:rsidR="001A7CED">
      <w:instrText>PAGE   \* MERGEFORMAT</w:instrText>
    </w:r>
    <w:r>
      <w:fldChar w:fldCharType="separate"/>
    </w:r>
    <w:r w:rsidR="008D2CD4" w:rsidRPr="008D2CD4">
      <w:rPr>
        <w:noProof/>
        <w:lang w:val="zh-CN"/>
      </w:rPr>
      <w:t>1</w:t>
    </w:r>
    <w:r>
      <w:fldChar w:fldCharType="end"/>
    </w:r>
  </w:p>
  <w:p w:rsidR="00112DC7" w:rsidRDefault="0049624A">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49624A">
    <w:pPr>
      <w:spacing w:after="160" w:line="259"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24A" w:rsidRDefault="0049624A" w:rsidP="00164D37">
      <w:r>
        <w:separator/>
      </w:r>
    </w:p>
  </w:footnote>
  <w:footnote w:type="continuationSeparator" w:id="1">
    <w:p w:rsidR="0049624A" w:rsidRDefault="0049624A" w:rsidP="0016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1A7CED">
    <w:pPr>
      <w:spacing w:line="259" w:lineRule="auto"/>
      <w:ind w:right="361"/>
      <w:jc w:val="right"/>
    </w:pPr>
    <w:r>
      <w:rPr>
        <w:sz w:val="16"/>
      </w:rPr>
      <w:t xml:space="preserve">*FOR REFERENCE ONLY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49624A">
    <w:pPr>
      <w:spacing w:line="259" w:lineRule="auto"/>
      <w:ind w:right="84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1A7CED">
    <w:pPr>
      <w:spacing w:line="259" w:lineRule="auto"/>
      <w:ind w:right="361"/>
      <w:jc w:val="right"/>
    </w:pPr>
    <w:r>
      <w:rPr>
        <w:sz w:val="16"/>
      </w:rPr>
      <w:t xml:space="preserve">*FOR REFERENCE ONLY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3013"/>
    <w:multiLevelType w:val="multilevel"/>
    <w:tmpl w:val="58603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17C"/>
    <w:rsid w:val="00164D37"/>
    <w:rsid w:val="001A7CED"/>
    <w:rsid w:val="0042417C"/>
    <w:rsid w:val="0049624A"/>
    <w:rsid w:val="005D701E"/>
    <w:rsid w:val="006743C8"/>
    <w:rsid w:val="008D2CD4"/>
    <w:rsid w:val="00982A40"/>
    <w:rsid w:val="00C76102"/>
    <w:rsid w:val="00DA4856"/>
    <w:rsid w:val="00E143FB"/>
    <w:rsid w:val="00E435D6"/>
    <w:rsid w:val="00F944EA"/>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37"/>
    <w:pPr>
      <w:widowControl w:val="0"/>
      <w:jc w:val="both"/>
    </w:pPr>
    <w:rPr>
      <w:rFonts w:ascii="Calibri" w:eastAsia="宋体" w:hAnsi="Calibri" w:cs="Times New Roman"/>
    </w:rPr>
  </w:style>
  <w:style w:type="paragraph" w:styleId="1">
    <w:name w:val="heading 1"/>
    <w:basedOn w:val="a"/>
    <w:next w:val="a"/>
    <w:link w:val="1Char"/>
    <w:uiPriority w:val="9"/>
    <w:qFormat/>
    <w:rsid w:val="00164D37"/>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37"/>
    <w:rPr>
      <w:sz w:val="18"/>
      <w:szCs w:val="18"/>
    </w:rPr>
  </w:style>
  <w:style w:type="paragraph" w:styleId="a4">
    <w:name w:val="footer"/>
    <w:basedOn w:val="a"/>
    <w:link w:val="Char0"/>
    <w:uiPriority w:val="99"/>
    <w:unhideWhenUsed/>
    <w:qFormat/>
    <w:rsid w:val="00164D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37"/>
    <w:rPr>
      <w:sz w:val="18"/>
      <w:szCs w:val="18"/>
    </w:rPr>
  </w:style>
  <w:style w:type="character" w:customStyle="1" w:styleId="1Char">
    <w:name w:val="标题 1 Char"/>
    <w:basedOn w:val="a0"/>
    <w:link w:val="1"/>
    <w:uiPriority w:val="9"/>
    <w:qFormat/>
    <w:rsid w:val="00164D37"/>
    <w:rPr>
      <w:rFonts w:ascii="Times New Roman" w:eastAsia="宋体" w:hAnsi="Times New Roman" w:cs="Times New Roman"/>
      <w:b/>
      <w:bCs/>
      <w:kern w:val="44"/>
      <w:sz w:val="44"/>
      <w:szCs w:val="44"/>
    </w:rPr>
  </w:style>
  <w:style w:type="paragraph" w:customStyle="1" w:styleId="Style103">
    <w:name w:val="_Style 103"/>
    <w:basedOn w:val="a"/>
    <w:next w:val="a5"/>
    <w:uiPriority w:val="1"/>
    <w:qFormat/>
    <w:rsid w:val="00164D37"/>
    <w:pPr>
      <w:ind w:firstLineChars="200" w:firstLine="420"/>
    </w:pPr>
    <w:rPr>
      <w:rFonts w:cs="Calibri"/>
      <w:szCs w:val="21"/>
    </w:rPr>
  </w:style>
  <w:style w:type="paragraph" w:styleId="a5">
    <w:name w:val="List Paragraph"/>
    <w:basedOn w:val="a"/>
    <w:uiPriority w:val="34"/>
    <w:qFormat/>
    <w:rsid w:val="00164D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6534</Words>
  <Characters>37246</Characters>
  <Application>Microsoft Office Word</Application>
  <DocSecurity>0</DocSecurity>
  <Lines>310</Lines>
  <Paragraphs>87</Paragraphs>
  <ScaleCrop>false</ScaleCrop>
  <Company>SHFE</Company>
  <LinksUpToDate>false</LinksUpToDate>
  <CharactersWithSpaces>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叶勇:拟稿人定稿</cp:lastModifiedBy>
  <cp:revision>5</cp:revision>
  <dcterms:created xsi:type="dcterms:W3CDTF">2023-10-20T01:37:00Z</dcterms:created>
  <dcterms:modified xsi:type="dcterms:W3CDTF">2023-11-17T05:18:00Z</dcterms:modified>
</cp:coreProperties>
</file>